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E567C" w14:textId="77777777" w:rsidR="001E1242" w:rsidRPr="001E1242" w:rsidRDefault="001E1242" w:rsidP="001E1242">
      <w:pPr>
        <w:bidi/>
        <w:spacing w:line="360" w:lineRule="auto"/>
        <w:jc w:val="lowKashida"/>
        <w:rPr>
          <w:rFonts w:asciiTheme="majorBidi" w:hAnsiTheme="majorBidi" w:cstheme="majorBidi"/>
          <w:b/>
          <w:bCs/>
          <w:rtl/>
        </w:rPr>
      </w:pPr>
    </w:p>
    <w:p w14:paraId="60CDD4AA" w14:textId="77777777" w:rsidR="001E1242" w:rsidRPr="001E1242" w:rsidRDefault="001E1242" w:rsidP="001E1242">
      <w:pPr>
        <w:bidi/>
        <w:spacing w:line="360" w:lineRule="auto"/>
        <w:jc w:val="lowKashida"/>
        <w:rPr>
          <w:rFonts w:asciiTheme="majorBidi" w:hAnsiTheme="majorBidi" w:cstheme="majorBidi"/>
          <w:b/>
          <w:bCs/>
          <w:rtl/>
        </w:rPr>
      </w:pPr>
    </w:p>
    <w:p w14:paraId="4F5B4DE5" w14:textId="77777777" w:rsidR="001E1242" w:rsidRPr="001E1242" w:rsidRDefault="001E1242" w:rsidP="001E1242">
      <w:pPr>
        <w:bidi/>
        <w:spacing w:line="360" w:lineRule="auto"/>
        <w:jc w:val="lowKashida"/>
        <w:rPr>
          <w:rFonts w:asciiTheme="majorBidi" w:hAnsiTheme="majorBidi" w:cstheme="majorBidi"/>
          <w:b/>
          <w:bCs/>
          <w:rtl/>
        </w:rPr>
      </w:pPr>
    </w:p>
    <w:p w14:paraId="7F63C81A" w14:textId="5364714C" w:rsidR="001E1242" w:rsidRPr="001E1242" w:rsidRDefault="001E1242" w:rsidP="001E1242">
      <w:pPr>
        <w:bidi/>
        <w:spacing w:line="360" w:lineRule="auto"/>
        <w:jc w:val="center"/>
        <w:rPr>
          <w:rFonts w:asciiTheme="majorBidi" w:hAnsiTheme="majorBidi" w:cstheme="majorBidi"/>
          <w:sz w:val="32"/>
          <w:szCs w:val="32"/>
        </w:rPr>
      </w:pPr>
      <w:r w:rsidRPr="001E1242">
        <w:rPr>
          <w:rFonts w:asciiTheme="majorBidi" w:hAnsiTheme="majorBidi" w:cstheme="majorBidi"/>
          <w:b/>
          <w:bCs/>
          <w:sz w:val="32"/>
          <w:szCs w:val="32"/>
          <w:rtl/>
        </w:rPr>
        <w:t>عنوان المقال</w:t>
      </w:r>
      <w:r w:rsidRPr="001E1242">
        <w:rPr>
          <w:rFonts w:asciiTheme="majorBidi" w:hAnsiTheme="majorBidi" w:cstheme="majorBidi"/>
          <w:b/>
          <w:bCs/>
          <w:sz w:val="32"/>
          <w:szCs w:val="32"/>
        </w:rPr>
        <w:t>:</w:t>
      </w:r>
      <w:r w:rsidRPr="001E1242">
        <w:rPr>
          <w:rFonts w:asciiTheme="majorBidi" w:hAnsiTheme="majorBidi" w:cstheme="majorBidi"/>
          <w:sz w:val="32"/>
          <w:szCs w:val="32"/>
        </w:rPr>
        <w:br/>
      </w:r>
      <w:r w:rsidRPr="001E1242">
        <w:rPr>
          <w:rFonts w:asciiTheme="majorBidi" w:hAnsiTheme="majorBidi" w:cstheme="majorBidi"/>
          <w:b/>
          <w:bCs/>
          <w:sz w:val="32"/>
          <w:szCs w:val="32"/>
          <w:rtl/>
        </w:rPr>
        <w:t>التأثير والتأثر بين المسلمين والحضارات الأخرى في القرنين 12 و13 الميلاديين</w:t>
      </w:r>
    </w:p>
    <w:p w14:paraId="5B3E1FEE" w14:textId="4D8AF9DB" w:rsidR="001E1242" w:rsidRPr="001E1242" w:rsidRDefault="001E1242" w:rsidP="001E1242">
      <w:pPr>
        <w:bidi/>
        <w:spacing w:line="360" w:lineRule="auto"/>
        <w:jc w:val="center"/>
        <w:rPr>
          <w:rFonts w:asciiTheme="majorBidi" w:hAnsiTheme="majorBidi" w:cstheme="majorBidi"/>
          <w:sz w:val="28"/>
          <w:szCs w:val="28"/>
          <w:rtl/>
        </w:rPr>
      </w:pPr>
      <w:r w:rsidRPr="001E1242">
        <w:rPr>
          <w:rFonts w:asciiTheme="majorBidi" w:hAnsiTheme="majorBidi" w:cstheme="majorBidi"/>
          <w:b/>
          <w:bCs/>
          <w:sz w:val="28"/>
          <w:szCs w:val="28"/>
          <w:rtl/>
        </w:rPr>
        <w:t>إعداد الطالبة</w:t>
      </w:r>
      <w:r w:rsidRPr="001E1242">
        <w:rPr>
          <w:rFonts w:asciiTheme="majorBidi" w:hAnsiTheme="majorBidi" w:cstheme="majorBidi"/>
          <w:b/>
          <w:bCs/>
          <w:sz w:val="28"/>
          <w:szCs w:val="28"/>
        </w:rPr>
        <w:t>:</w:t>
      </w:r>
      <w:r w:rsidRPr="001E1242">
        <w:rPr>
          <w:rFonts w:asciiTheme="majorBidi" w:hAnsiTheme="majorBidi" w:cstheme="majorBidi"/>
          <w:sz w:val="28"/>
          <w:szCs w:val="28"/>
        </w:rPr>
        <w:br/>
      </w:r>
      <w:r w:rsidRPr="001E1242">
        <w:rPr>
          <w:rFonts w:asciiTheme="majorBidi" w:hAnsiTheme="majorBidi" w:cstheme="majorBidi"/>
          <w:b/>
          <w:bCs/>
          <w:sz w:val="28"/>
          <w:szCs w:val="28"/>
          <w:rtl/>
        </w:rPr>
        <w:t>الاسم</w:t>
      </w:r>
      <w:r w:rsidRPr="001E1242">
        <w:rPr>
          <w:rFonts w:asciiTheme="majorBidi" w:hAnsiTheme="majorBidi" w:cstheme="majorBidi"/>
          <w:b/>
          <w:bCs/>
          <w:sz w:val="28"/>
          <w:szCs w:val="28"/>
        </w:rPr>
        <w:t>:</w:t>
      </w:r>
      <w:r w:rsidRPr="001E1242">
        <w:rPr>
          <w:rFonts w:asciiTheme="majorBidi" w:hAnsiTheme="majorBidi" w:cstheme="majorBidi"/>
          <w:sz w:val="28"/>
          <w:szCs w:val="28"/>
        </w:rPr>
        <w:br/>
      </w:r>
      <w:r w:rsidRPr="001E1242">
        <w:rPr>
          <w:rFonts w:asciiTheme="majorBidi" w:hAnsiTheme="majorBidi" w:cstheme="majorBidi"/>
          <w:b/>
          <w:bCs/>
          <w:sz w:val="28"/>
          <w:szCs w:val="28"/>
          <w:rtl/>
        </w:rPr>
        <w:t>رقم القيد</w:t>
      </w:r>
      <w:r w:rsidRPr="001E1242">
        <w:rPr>
          <w:rFonts w:asciiTheme="majorBidi" w:hAnsiTheme="majorBidi" w:cstheme="majorBidi"/>
          <w:sz w:val="28"/>
          <w:szCs w:val="28"/>
        </w:rPr>
        <w:br/>
      </w:r>
      <w:r w:rsidRPr="001E1242">
        <w:rPr>
          <w:rFonts w:asciiTheme="majorBidi" w:hAnsiTheme="majorBidi" w:cstheme="majorBidi"/>
          <w:b/>
          <w:bCs/>
          <w:sz w:val="28"/>
          <w:szCs w:val="28"/>
          <w:rtl/>
        </w:rPr>
        <w:t>المقرر</w:t>
      </w:r>
    </w:p>
    <w:p w14:paraId="795BC4AD" w14:textId="6B2340A9" w:rsidR="001E1242" w:rsidRPr="001E1242" w:rsidRDefault="001E1242" w:rsidP="001E1242">
      <w:pPr>
        <w:bidi/>
        <w:spacing w:line="360" w:lineRule="auto"/>
        <w:rPr>
          <w:rFonts w:asciiTheme="majorBidi" w:hAnsiTheme="majorBidi" w:cstheme="majorBidi"/>
          <w:sz w:val="28"/>
          <w:szCs w:val="28"/>
        </w:rPr>
      </w:pPr>
    </w:p>
    <w:p w14:paraId="50950B2C" w14:textId="5583E40A" w:rsidR="001E1242" w:rsidRPr="001E1242" w:rsidRDefault="001E1242" w:rsidP="001E1242">
      <w:pPr>
        <w:bidi/>
        <w:spacing w:line="360" w:lineRule="auto"/>
        <w:jc w:val="center"/>
        <w:rPr>
          <w:rFonts w:asciiTheme="majorBidi" w:hAnsiTheme="majorBidi" w:cstheme="majorBidi"/>
          <w:sz w:val="28"/>
          <w:szCs w:val="28"/>
        </w:rPr>
      </w:pPr>
      <w:r w:rsidRPr="001E1242">
        <w:rPr>
          <w:rFonts w:asciiTheme="majorBidi" w:hAnsiTheme="majorBidi" w:cstheme="majorBidi"/>
          <w:b/>
          <w:bCs/>
          <w:sz w:val="28"/>
          <w:szCs w:val="28"/>
          <w:rtl/>
        </w:rPr>
        <w:t>تاريخ التقديم</w:t>
      </w:r>
      <w:r w:rsidRPr="001E1242">
        <w:rPr>
          <w:rFonts w:asciiTheme="majorBidi" w:hAnsiTheme="majorBidi" w:cstheme="majorBidi"/>
          <w:b/>
          <w:bCs/>
          <w:sz w:val="28"/>
          <w:szCs w:val="28"/>
        </w:rPr>
        <w:t>:</w:t>
      </w:r>
      <w:r w:rsidRPr="001E1242">
        <w:rPr>
          <w:rFonts w:asciiTheme="majorBidi" w:hAnsiTheme="majorBidi" w:cstheme="majorBidi"/>
          <w:sz w:val="28"/>
          <w:szCs w:val="28"/>
        </w:rPr>
        <w:br/>
      </w:r>
    </w:p>
    <w:p w14:paraId="55B730E0" w14:textId="76B5DB67" w:rsidR="001E1242" w:rsidRPr="001E1242" w:rsidRDefault="001E1242" w:rsidP="001E1242">
      <w:pPr>
        <w:bidi/>
        <w:spacing w:line="360" w:lineRule="auto"/>
        <w:jc w:val="center"/>
        <w:rPr>
          <w:rFonts w:asciiTheme="majorBidi" w:hAnsiTheme="majorBidi" w:cstheme="majorBidi"/>
          <w:sz w:val="28"/>
          <w:szCs w:val="28"/>
        </w:rPr>
      </w:pPr>
      <w:r w:rsidRPr="001E1242">
        <w:rPr>
          <w:rFonts w:asciiTheme="majorBidi" w:hAnsiTheme="majorBidi" w:cstheme="majorBidi"/>
          <w:b/>
          <w:bCs/>
          <w:sz w:val="28"/>
          <w:szCs w:val="28"/>
          <w:rtl/>
        </w:rPr>
        <w:t>إشراف</w:t>
      </w:r>
      <w:r w:rsidRPr="001E1242">
        <w:rPr>
          <w:rFonts w:asciiTheme="majorBidi" w:hAnsiTheme="majorBidi" w:cstheme="majorBidi"/>
          <w:b/>
          <w:bCs/>
          <w:sz w:val="28"/>
          <w:szCs w:val="28"/>
        </w:rPr>
        <w:t>:</w:t>
      </w:r>
      <w:r w:rsidRPr="001E1242">
        <w:rPr>
          <w:rFonts w:asciiTheme="majorBidi" w:hAnsiTheme="majorBidi" w:cstheme="majorBidi"/>
          <w:sz w:val="28"/>
          <w:szCs w:val="28"/>
        </w:rPr>
        <w:br/>
      </w:r>
      <w:r w:rsidRPr="001E1242">
        <w:rPr>
          <w:rFonts w:asciiTheme="majorBidi" w:hAnsiTheme="majorBidi" w:cstheme="majorBidi"/>
          <w:b/>
          <w:bCs/>
          <w:sz w:val="28"/>
          <w:szCs w:val="28"/>
          <w:rtl/>
        </w:rPr>
        <w:t>دكتور/ة</w:t>
      </w:r>
      <w:r w:rsidRPr="001E1242">
        <w:rPr>
          <w:rFonts w:asciiTheme="majorBidi" w:hAnsiTheme="majorBidi" w:cstheme="majorBidi"/>
          <w:b/>
          <w:bCs/>
          <w:sz w:val="28"/>
          <w:szCs w:val="28"/>
        </w:rPr>
        <w:t>:</w:t>
      </w:r>
      <w:r w:rsidRPr="001E1242">
        <w:rPr>
          <w:rFonts w:asciiTheme="majorBidi" w:hAnsiTheme="majorBidi" w:cstheme="majorBidi"/>
          <w:sz w:val="28"/>
          <w:szCs w:val="28"/>
        </w:rPr>
        <w:t xml:space="preserve"> </w:t>
      </w:r>
    </w:p>
    <w:p w14:paraId="3E57393B" w14:textId="77777777" w:rsidR="001E1242" w:rsidRPr="001E1242" w:rsidRDefault="001E1242" w:rsidP="001E1242">
      <w:pPr>
        <w:bidi/>
        <w:spacing w:line="360" w:lineRule="auto"/>
        <w:jc w:val="center"/>
        <w:rPr>
          <w:rFonts w:asciiTheme="majorBidi" w:hAnsiTheme="majorBidi" w:cstheme="majorBidi"/>
          <w:sz w:val="28"/>
          <w:szCs w:val="28"/>
        </w:rPr>
      </w:pPr>
      <w:r w:rsidRPr="001E1242">
        <w:rPr>
          <w:rFonts w:asciiTheme="majorBidi" w:hAnsiTheme="majorBidi" w:cstheme="majorBidi"/>
          <w:b/>
          <w:bCs/>
          <w:sz w:val="28"/>
          <w:szCs w:val="28"/>
          <w:rtl/>
        </w:rPr>
        <w:t>العام الجامعي</w:t>
      </w:r>
      <w:r w:rsidRPr="001E1242">
        <w:rPr>
          <w:rFonts w:asciiTheme="majorBidi" w:hAnsiTheme="majorBidi" w:cstheme="majorBidi"/>
          <w:b/>
          <w:bCs/>
          <w:sz w:val="28"/>
          <w:szCs w:val="28"/>
        </w:rPr>
        <w:t>:</w:t>
      </w:r>
      <w:r w:rsidRPr="001E1242">
        <w:rPr>
          <w:rFonts w:asciiTheme="majorBidi" w:hAnsiTheme="majorBidi" w:cstheme="majorBidi"/>
          <w:sz w:val="28"/>
          <w:szCs w:val="28"/>
        </w:rPr>
        <w:br/>
        <w:t>[2023-2024]</w:t>
      </w:r>
    </w:p>
    <w:p w14:paraId="09D21177" w14:textId="77777777" w:rsidR="001E1242" w:rsidRDefault="001E1242" w:rsidP="001E1242">
      <w:pPr>
        <w:bidi/>
        <w:spacing w:line="360" w:lineRule="auto"/>
        <w:jc w:val="lowKashida"/>
        <w:rPr>
          <w:rFonts w:asciiTheme="majorBidi" w:hAnsiTheme="majorBidi" w:cstheme="majorBidi"/>
          <w:rtl/>
        </w:rPr>
      </w:pPr>
    </w:p>
    <w:p w14:paraId="06826CEF" w14:textId="77777777" w:rsidR="001E1242" w:rsidRDefault="001E1242" w:rsidP="001E1242">
      <w:pPr>
        <w:bidi/>
        <w:spacing w:line="360" w:lineRule="auto"/>
        <w:jc w:val="lowKashida"/>
        <w:rPr>
          <w:rFonts w:asciiTheme="majorBidi" w:hAnsiTheme="majorBidi" w:cstheme="majorBidi"/>
          <w:rtl/>
        </w:rPr>
      </w:pPr>
    </w:p>
    <w:p w14:paraId="285C4831" w14:textId="77777777" w:rsidR="001E1242" w:rsidRDefault="001E1242" w:rsidP="001E1242">
      <w:pPr>
        <w:bidi/>
        <w:spacing w:line="360" w:lineRule="auto"/>
        <w:jc w:val="lowKashida"/>
        <w:rPr>
          <w:rFonts w:asciiTheme="majorBidi" w:hAnsiTheme="majorBidi" w:cstheme="majorBidi"/>
          <w:rtl/>
        </w:rPr>
      </w:pPr>
    </w:p>
    <w:p w14:paraId="76F6C16F" w14:textId="77777777" w:rsidR="001E1242" w:rsidRDefault="001E1242" w:rsidP="001E1242">
      <w:pPr>
        <w:bidi/>
        <w:spacing w:line="360" w:lineRule="auto"/>
        <w:jc w:val="lowKashida"/>
        <w:rPr>
          <w:rFonts w:asciiTheme="majorBidi" w:hAnsiTheme="majorBidi" w:cstheme="majorBidi"/>
          <w:rtl/>
        </w:rPr>
      </w:pPr>
    </w:p>
    <w:p w14:paraId="6B850E4F" w14:textId="77777777" w:rsidR="001E1242" w:rsidRDefault="001E1242" w:rsidP="001E1242">
      <w:pPr>
        <w:bidi/>
        <w:spacing w:line="360" w:lineRule="auto"/>
        <w:jc w:val="lowKashida"/>
        <w:rPr>
          <w:rFonts w:asciiTheme="majorBidi" w:hAnsiTheme="majorBidi" w:cstheme="majorBidi"/>
          <w:rtl/>
        </w:rPr>
      </w:pPr>
    </w:p>
    <w:p w14:paraId="3909CB39" w14:textId="77777777" w:rsidR="001E1242" w:rsidRPr="001E1242" w:rsidRDefault="001E1242" w:rsidP="001E1242">
      <w:pPr>
        <w:bidi/>
        <w:spacing w:line="360" w:lineRule="auto"/>
        <w:jc w:val="lowKashida"/>
        <w:rPr>
          <w:rFonts w:asciiTheme="majorBidi" w:hAnsiTheme="majorBidi" w:cstheme="majorBidi"/>
        </w:rPr>
      </w:pPr>
    </w:p>
    <w:p w14:paraId="05401BA6" w14:textId="77777777" w:rsidR="001E1242" w:rsidRPr="001E1242" w:rsidRDefault="001E1242" w:rsidP="001E1242">
      <w:pPr>
        <w:bidi/>
        <w:spacing w:line="360" w:lineRule="auto"/>
        <w:jc w:val="lowKashida"/>
        <w:rPr>
          <w:rFonts w:asciiTheme="majorBidi" w:hAnsiTheme="majorBidi" w:cstheme="majorBidi"/>
          <w:b/>
          <w:bCs/>
          <w:rtl/>
        </w:rPr>
      </w:pPr>
    </w:p>
    <w:p w14:paraId="1481F0EA" w14:textId="13BF4C88" w:rsidR="001E1242" w:rsidRPr="001E1242" w:rsidRDefault="001E1242" w:rsidP="001E1242">
      <w:pPr>
        <w:bidi/>
        <w:spacing w:line="480" w:lineRule="auto"/>
        <w:jc w:val="center"/>
        <w:rPr>
          <w:rFonts w:asciiTheme="majorBidi" w:hAnsiTheme="majorBidi" w:cstheme="majorBidi"/>
          <w:b/>
          <w:bCs/>
          <w:color w:val="4472C4" w:themeColor="accent1"/>
          <w:sz w:val="36"/>
          <w:szCs w:val="36"/>
        </w:rPr>
      </w:pPr>
      <w:r w:rsidRPr="001E1242">
        <w:rPr>
          <w:rFonts w:asciiTheme="majorBidi" w:hAnsiTheme="majorBidi" w:cstheme="majorBidi"/>
          <w:b/>
          <w:bCs/>
          <w:color w:val="4472C4" w:themeColor="accent1"/>
          <w:sz w:val="36"/>
          <w:szCs w:val="36"/>
          <w:rtl/>
        </w:rPr>
        <w:lastRenderedPageBreak/>
        <w:t>المحور الأول: التأثير والتأثر بين المسلمين والصليبيين خلال القرنين 12 و13 الميلاديين</w:t>
      </w:r>
    </w:p>
    <w:p w14:paraId="1B9B9990" w14:textId="77777777" w:rsidR="001E1242" w:rsidRPr="001E1242" w:rsidRDefault="001E1242" w:rsidP="001E1242">
      <w:p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في هذه الفترة، شهدت المنطقة سلسلة من الحملات الصليبية التي هدفت إلى السيطرة على الأراضي المقدسة في الشرق الأوسط. أثّر هذا الصراع المستمر بشكل عميق على المجتمعين المسلم والصليبي، مما أدى إلى تبادل وتأثر ثقافي وعلمي وديني، سنناقشه بالتفصيل</w:t>
      </w:r>
      <w:r w:rsidRPr="001E1242">
        <w:rPr>
          <w:rFonts w:asciiTheme="majorBidi" w:hAnsiTheme="majorBidi" w:cstheme="majorBidi"/>
          <w:sz w:val="28"/>
          <w:szCs w:val="28"/>
        </w:rPr>
        <w:t>:</w:t>
      </w:r>
    </w:p>
    <w:p w14:paraId="542A6CF0" w14:textId="77777777" w:rsidR="001E1242" w:rsidRPr="001E1242" w:rsidRDefault="001E1242" w:rsidP="001E1242">
      <w:pPr>
        <w:numPr>
          <w:ilvl w:val="0"/>
          <w:numId w:val="1"/>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الدينية</w:t>
      </w:r>
    </w:p>
    <w:p w14:paraId="3B5EF97D" w14:textId="5931DCFA"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الصليبيون كانوا مسيحيين قادمين من أوروبا بهدف استعادة القدس وتوسيع نطاق المسيحية. خلق هذا الصراع تحديات دينية للمسلمين الذين اضطروا للرد على تهديدات الصليبيين، مما عزز من مكانة الدين الإسلامي بين الشعوب الإسلامية ورفع من درجة الالتزام الديني. كان هناك أيضًا تأثير متبادل حيث اكتسب الصليبيون فهمًا أعمق للعقيدة الإسلامية وبعضهم تأثر بالإسلام. في المقابل، شهد العالم الإسلامي تقوية الروابط الروحية بين الشعوب الإسلامية، وأصبحت الخطابات الدينية أكثر توجهًا نحو الجهاد والدفاع عن الدين</w:t>
      </w:r>
      <w:r w:rsidRPr="001E1242">
        <w:rPr>
          <w:rFonts w:asciiTheme="majorBidi" w:hAnsiTheme="majorBidi" w:cstheme="majorBidi"/>
          <w:sz w:val="28"/>
          <w:szCs w:val="28"/>
        </w:rPr>
        <w:t>.</w:t>
      </w:r>
      <w:r>
        <w:rPr>
          <w:rStyle w:val="FootnoteReference"/>
          <w:rFonts w:asciiTheme="majorBidi" w:hAnsiTheme="majorBidi" w:cstheme="majorBidi"/>
          <w:sz w:val="28"/>
          <w:szCs w:val="28"/>
        </w:rPr>
        <w:footnoteReference w:id="1"/>
      </w:r>
    </w:p>
    <w:p w14:paraId="685DD8B8" w14:textId="77777777" w:rsidR="001E1242" w:rsidRPr="001E1242" w:rsidRDefault="001E1242" w:rsidP="001E1242">
      <w:pPr>
        <w:numPr>
          <w:ilvl w:val="0"/>
          <w:numId w:val="1"/>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الثقافية</w:t>
      </w:r>
    </w:p>
    <w:p w14:paraId="4595FD06" w14:textId="734FFCE2"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 xml:space="preserve">أثّر التبادل الثقافي بين المسلمين والصليبيين بشكل كبير، حيث استفاد الطرفان من التواصل الحضاري. نقل الصليبيون إلى أوروبا فنون الزخرفة والهندسة الإسلامية التي ساهمت في إثراء الفنون الأوروبية، خاصةً في العصور الوسطى. شملت التأثيرات المعمارية، مثل الأقواس والزخارف </w:t>
      </w:r>
      <w:r w:rsidRPr="001E1242">
        <w:rPr>
          <w:rFonts w:asciiTheme="majorBidi" w:hAnsiTheme="majorBidi" w:cstheme="majorBidi"/>
          <w:sz w:val="28"/>
          <w:szCs w:val="28"/>
          <w:rtl/>
        </w:rPr>
        <w:lastRenderedPageBreak/>
        <w:t>الإسلامية، التي ظهرت في العمارة الأوروبية. ومن ناحية أخرى، دخلت الثقافة الأوروبية إلى بلاد المسلمين، ولكن كان التأثير أقل نسبيًا نظرًا لأن الصليبيين كانوا القادمين إلى الشرق</w:t>
      </w:r>
      <w:r w:rsidRPr="001E1242">
        <w:rPr>
          <w:rFonts w:asciiTheme="majorBidi" w:hAnsiTheme="majorBidi" w:cstheme="majorBidi"/>
          <w:sz w:val="28"/>
          <w:szCs w:val="28"/>
        </w:rPr>
        <w:t>.</w:t>
      </w:r>
    </w:p>
    <w:p w14:paraId="07CCE80A" w14:textId="77777777" w:rsidR="001E1242" w:rsidRPr="001E1242" w:rsidRDefault="001E1242" w:rsidP="001E1242">
      <w:pPr>
        <w:numPr>
          <w:ilvl w:val="0"/>
          <w:numId w:val="1"/>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الاجتماعية</w:t>
      </w:r>
    </w:p>
    <w:p w14:paraId="2618B1CA" w14:textId="64C80D81"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رغم النزاع، ظهرت فترات من التعايش المؤقت، حيث احتك المسلمون والصليبيون ببعضهم البعض. عاش البعض في مناطق اختلط فيها المسلمون والصليبيون، مما سمح بانتقال بعض العادات والتقاليد. فقد تأثر الصليبيون بعادات المسلمين في المأكل والملبس، بينما تأثر بعض المسلمين بالطقوس الأوروبية مثل الاحتفالات التي كان يجريها الصليبيون في مناسبات دينية</w:t>
      </w:r>
      <w:r w:rsidRPr="001E1242">
        <w:rPr>
          <w:rFonts w:asciiTheme="majorBidi" w:hAnsiTheme="majorBidi" w:cstheme="majorBidi"/>
          <w:sz w:val="28"/>
          <w:szCs w:val="28"/>
        </w:rPr>
        <w:t>.</w:t>
      </w:r>
      <w:r>
        <w:rPr>
          <w:rStyle w:val="FootnoteReference"/>
          <w:rFonts w:asciiTheme="majorBidi" w:hAnsiTheme="majorBidi" w:cstheme="majorBidi"/>
          <w:sz w:val="28"/>
          <w:szCs w:val="28"/>
        </w:rPr>
        <w:footnoteReference w:id="2"/>
      </w:r>
    </w:p>
    <w:p w14:paraId="0487EA01" w14:textId="77777777" w:rsidR="001E1242" w:rsidRPr="001E1242" w:rsidRDefault="001E1242" w:rsidP="001E1242">
      <w:pPr>
        <w:numPr>
          <w:ilvl w:val="0"/>
          <w:numId w:val="1"/>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العلمية</w:t>
      </w:r>
    </w:p>
    <w:p w14:paraId="1C69475C" w14:textId="6D28D697" w:rsid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تميزت الفترة بنقل المعرفة، حيث اكتسب الصليبيون من العلوم الإسلامية المتقدمة في مجالات الطب والفلك والرياضيات. تعلّم الصليبيون من الأطباء والعلماء المسلمين تقنيات جديدة في علاج الجروح وعلوم التشريح، بالإضافة إلى المبادئ الفلكية التي ساعدتهم في الإبحار والتنقل. من جانبهم، عرف المسلمون أدوات وأساليب جديدة قادمة من أوروبا، مما ساهم في تطوير بعض جوانب العلوم التطبيقية</w:t>
      </w:r>
      <w:r w:rsidRPr="001E1242">
        <w:rPr>
          <w:rFonts w:asciiTheme="majorBidi" w:hAnsiTheme="majorBidi" w:cstheme="majorBidi"/>
          <w:sz w:val="28"/>
          <w:szCs w:val="28"/>
        </w:rPr>
        <w:t>.</w:t>
      </w:r>
    </w:p>
    <w:p w14:paraId="08686475" w14:textId="77777777" w:rsidR="001E1242" w:rsidRDefault="001E1242" w:rsidP="001E1242">
      <w:pPr>
        <w:bidi/>
        <w:spacing w:line="480" w:lineRule="auto"/>
        <w:ind w:left="720"/>
        <w:jc w:val="lowKashida"/>
        <w:rPr>
          <w:rFonts w:asciiTheme="majorBidi" w:hAnsiTheme="majorBidi" w:cstheme="majorBidi"/>
          <w:sz w:val="28"/>
          <w:szCs w:val="28"/>
        </w:rPr>
      </w:pPr>
    </w:p>
    <w:p w14:paraId="3C46E480" w14:textId="77777777" w:rsidR="001E1242" w:rsidRDefault="001E1242" w:rsidP="001E1242">
      <w:pPr>
        <w:bidi/>
        <w:spacing w:line="480" w:lineRule="auto"/>
        <w:ind w:left="720"/>
        <w:jc w:val="lowKashida"/>
        <w:rPr>
          <w:rFonts w:asciiTheme="majorBidi" w:hAnsiTheme="majorBidi" w:cstheme="majorBidi"/>
          <w:sz w:val="28"/>
          <w:szCs w:val="28"/>
        </w:rPr>
      </w:pPr>
    </w:p>
    <w:p w14:paraId="7AA24187" w14:textId="77777777" w:rsidR="001E1242" w:rsidRPr="001E1242" w:rsidRDefault="001E1242" w:rsidP="001E1242">
      <w:pPr>
        <w:bidi/>
        <w:spacing w:line="480" w:lineRule="auto"/>
        <w:ind w:left="720"/>
        <w:jc w:val="lowKashida"/>
        <w:rPr>
          <w:rFonts w:asciiTheme="majorBidi" w:hAnsiTheme="majorBidi" w:cstheme="majorBidi"/>
          <w:sz w:val="28"/>
          <w:szCs w:val="28"/>
        </w:rPr>
      </w:pPr>
    </w:p>
    <w:p w14:paraId="465EEF56" w14:textId="77777777" w:rsidR="001E1242" w:rsidRPr="001E1242" w:rsidRDefault="001E1242" w:rsidP="001E1242">
      <w:pPr>
        <w:numPr>
          <w:ilvl w:val="0"/>
          <w:numId w:val="1"/>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lastRenderedPageBreak/>
        <w:t>تأثيرات أخرى</w:t>
      </w:r>
    </w:p>
    <w:p w14:paraId="0B8DB52D" w14:textId="3DB8D061"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شمل التأثير أيضًا النواحي الاقتصادية؛ إذ أدت الحملات الصليبية إلى تغيير في التجارة بين الشرق والغرب، حيث استُحدثت طرق تجارية جديدة. كانت هذه التجارة تعتمد على البضائع الشرقية مثل التوابل والأقمشة الفاخرة التي زادت رغبة الأوروبيين فيها بعد احتكاكهم بالمسلمين</w:t>
      </w:r>
      <w:r w:rsidRPr="001E1242">
        <w:rPr>
          <w:rFonts w:asciiTheme="majorBidi" w:hAnsiTheme="majorBidi" w:cstheme="majorBidi"/>
          <w:sz w:val="28"/>
          <w:szCs w:val="28"/>
        </w:rPr>
        <w:t>.</w:t>
      </w:r>
      <w:r>
        <w:rPr>
          <w:rStyle w:val="FootnoteReference"/>
          <w:rFonts w:asciiTheme="majorBidi" w:hAnsiTheme="majorBidi" w:cstheme="majorBidi"/>
          <w:sz w:val="28"/>
          <w:szCs w:val="28"/>
        </w:rPr>
        <w:footnoteReference w:id="3"/>
      </w:r>
    </w:p>
    <w:p w14:paraId="4919BCF4" w14:textId="77777777" w:rsidR="001E1242" w:rsidRPr="001E1242" w:rsidRDefault="001E1242" w:rsidP="001E1242">
      <w:pPr>
        <w:bidi/>
        <w:spacing w:line="480" w:lineRule="auto"/>
        <w:jc w:val="center"/>
        <w:rPr>
          <w:rFonts w:asciiTheme="majorBidi" w:hAnsiTheme="majorBidi" w:cstheme="majorBidi"/>
          <w:b/>
          <w:bCs/>
          <w:color w:val="4472C4" w:themeColor="accent1"/>
          <w:sz w:val="36"/>
          <w:szCs w:val="36"/>
        </w:rPr>
      </w:pPr>
      <w:r w:rsidRPr="001E1242">
        <w:rPr>
          <w:rFonts w:asciiTheme="majorBidi" w:hAnsiTheme="majorBidi" w:cstheme="majorBidi"/>
          <w:b/>
          <w:bCs/>
          <w:color w:val="4472C4" w:themeColor="accent1"/>
          <w:sz w:val="36"/>
          <w:szCs w:val="36"/>
          <w:rtl/>
        </w:rPr>
        <w:t>المحور الثاني: الاحتكاك المغولي بالحضارة الإسلامية</w:t>
      </w:r>
    </w:p>
    <w:p w14:paraId="7B72AEAF" w14:textId="77777777" w:rsidR="001E1242" w:rsidRPr="001E1242" w:rsidRDefault="001E1242" w:rsidP="001E1242">
      <w:p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كان للمغول احتكاك كبير بالحضارة الإسلامية عند غزوهم لمناطق عديدة من العالم الإسلامي، وتأثرت الجانبان دينيًا وثقافيًا وعلميًا</w:t>
      </w:r>
      <w:r w:rsidRPr="001E1242">
        <w:rPr>
          <w:rFonts w:asciiTheme="majorBidi" w:hAnsiTheme="majorBidi" w:cstheme="majorBidi"/>
          <w:sz w:val="28"/>
          <w:szCs w:val="28"/>
        </w:rPr>
        <w:t>.</w:t>
      </w:r>
    </w:p>
    <w:p w14:paraId="74B69CA1" w14:textId="77777777" w:rsidR="001E1242" w:rsidRPr="001E1242" w:rsidRDefault="001E1242" w:rsidP="001E1242">
      <w:pPr>
        <w:numPr>
          <w:ilvl w:val="0"/>
          <w:numId w:val="2"/>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الدينية</w:t>
      </w:r>
    </w:p>
    <w:p w14:paraId="79A46BCD" w14:textId="6422B4DC" w:rsid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عندما دخل المغول الأراضي الإسلامية، كانوا يتبعون ديانات مختلفة، مما خلق صدامًا دينيًا في البداية. ومع مرور الوقت، تأثر بعض القادة المغول بالإسلام واعتنقه عدد منهم، وخاصةً سلالة "الإيلخانية" التي حكمت فارس وأجزاء من العراق. ساهم اعتناق المغول الإسلام في استقرار النفوذ الإسلامي في المنطقة، ونتج عن ذلك انتشار كبير للدين الإسلامي وتغلغل الثقافة الإسلامية في الحياة المغولية</w:t>
      </w:r>
      <w:r w:rsidRPr="001E1242">
        <w:rPr>
          <w:rFonts w:asciiTheme="majorBidi" w:hAnsiTheme="majorBidi" w:cstheme="majorBidi"/>
          <w:sz w:val="28"/>
          <w:szCs w:val="28"/>
        </w:rPr>
        <w:t>.</w:t>
      </w:r>
      <w:r>
        <w:rPr>
          <w:rStyle w:val="FootnoteReference"/>
          <w:rFonts w:asciiTheme="majorBidi" w:hAnsiTheme="majorBidi" w:cstheme="majorBidi"/>
          <w:sz w:val="28"/>
          <w:szCs w:val="28"/>
        </w:rPr>
        <w:footnoteReference w:id="4"/>
      </w:r>
    </w:p>
    <w:p w14:paraId="1AC22A90" w14:textId="77777777" w:rsidR="001E1242" w:rsidRDefault="001E1242" w:rsidP="001E1242">
      <w:pPr>
        <w:bidi/>
        <w:spacing w:line="480" w:lineRule="auto"/>
        <w:ind w:left="720"/>
        <w:jc w:val="lowKashida"/>
        <w:rPr>
          <w:rFonts w:asciiTheme="majorBidi" w:hAnsiTheme="majorBidi" w:cstheme="majorBidi"/>
          <w:sz w:val="28"/>
          <w:szCs w:val="28"/>
        </w:rPr>
      </w:pPr>
    </w:p>
    <w:p w14:paraId="41443D89" w14:textId="77777777" w:rsidR="001E1242" w:rsidRPr="001E1242" w:rsidRDefault="001E1242" w:rsidP="001E1242">
      <w:pPr>
        <w:bidi/>
        <w:spacing w:line="480" w:lineRule="auto"/>
        <w:ind w:left="720"/>
        <w:jc w:val="lowKashida"/>
        <w:rPr>
          <w:rFonts w:asciiTheme="majorBidi" w:hAnsiTheme="majorBidi" w:cstheme="majorBidi"/>
          <w:sz w:val="28"/>
          <w:szCs w:val="28"/>
        </w:rPr>
      </w:pPr>
    </w:p>
    <w:p w14:paraId="716E98D8" w14:textId="77777777" w:rsidR="001E1242" w:rsidRPr="001E1242" w:rsidRDefault="001E1242" w:rsidP="001E1242">
      <w:pPr>
        <w:numPr>
          <w:ilvl w:val="0"/>
          <w:numId w:val="2"/>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lastRenderedPageBreak/>
        <w:t>التأثيرات الثقافية</w:t>
      </w:r>
    </w:p>
    <w:p w14:paraId="33C89DF8" w14:textId="3AEA7B8C"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أدى الاحتكاك إلى تبادل ثقافي واسع. جلب المغول عناصر ثقافية جديدة، مثل أساليب بناء القلاع والدروع الحربية، بينما اكتسبوا من المسلمين فنون العمارة والزخرفة، مما انعكس على تطور العمارة المغولية. ولعل تأثير الثقافة الإسلامية تجلى في تبني المغول الكثير من العادات الإسلامية في حياتهم اليومية، كالعادات الاجتماعية والدينية</w:t>
      </w:r>
      <w:r w:rsidRPr="001E1242">
        <w:rPr>
          <w:rFonts w:asciiTheme="majorBidi" w:hAnsiTheme="majorBidi" w:cstheme="majorBidi"/>
          <w:sz w:val="28"/>
          <w:szCs w:val="28"/>
        </w:rPr>
        <w:t>.</w:t>
      </w:r>
    </w:p>
    <w:p w14:paraId="2006F960" w14:textId="77777777" w:rsidR="001E1242" w:rsidRPr="001E1242" w:rsidRDefault="001E1242" w:rsidP="001E1242">
      <w:pPr>
        <w:numPr>
          <w:ilvl w:val="0"/>
          <w:numId w:val="2"/>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الاجتماعية</w:t>
      </w:r>
    </w:p>
    <w:p w14:paraId="32610EBB" w14:textId="5E154959"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نتيجة التعايش القسري، اندمجت بعض العائلات المغولية بالمسلمين، مما ساهم في تغيير البنية الاجتماعية في بعض المناطق. كانت المجتمعات المغولية تميل إلى النظام القبلي والعسكري، لكن الاحتكاك بالمسلمين أدى إلى تطوير منظومة اجتماعية أكثر تنوعًا وشمولية</w:t>
      </w:r>
      <w:r w:rsidRPr="001E1242">
        <w:rPr>
          <w:rFonts w:asciiTheme="majorBidi" w:hAnsiTheme="majorBidi" w:cstheme="majorBidi"/>
          <w:sz w:val="28"/>
          <w:szCs w:val="28"/>
        </w:rPr>
        <w:t>.</w:t>
      </w:r>
      <w:r>
        <w:rPr>
          <w:rStyle w:val="FootnoteReference"/>
          <w:rFonts w:asciiTheme="majorBidi" w:hAnsiTheme="majorBidi" w:cstheme="majorBidi"/>
          <w:sz w:val="28"/>
          <w:szCs w:val="28"/>
        </w:rPr>
        <w:footnoteReference w:id="5"/>
      </w:r>
    </w:p>
    <w:p w14:paraId="6A1DFD79" w14:textId="77777777" w:rsidR="001E1242" w:rsidRPr="001E1242" w:rsidRDefault="001E1242" w:rsidP="001E1242">
      <w:pPr>
        <w:numPr>
          <w:ilvl w:val="0"/>
          <w:numId w:val="2"/>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التأثيرات العلمية</w:t>
      </w:r>
    </w:p>
    <w:p w14:paraId="507EFB64" w14:textId="1B920A0A" w:rsid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أدرك المغول قيمة العلوم الإسلامية وسعوا للاستفادة منها. على سبيل المثال، اهتم المغول بالعلوم الهندسية والعسكرية التي تفوق فيها المسلمون، خاصةً فيما يتعلق بالتحصينات والبنية التحتية. كما شهدت تلك الفترة تقديرًا لعلماء المسلمين في الطب والفلك، واستعان المغول بهم لتطوير إمبراطوريتهم</w:t>
      </w:r>
      <w:r w:rsidRPr="001E1242">
        <w:rPr>
          <w:rFonts w:asciiTheme="majorBidi" w:hAnsiTheme="majorBidi" w:cstheme="majorBidi"/>
          <w:sz w:val="28"/>
          <w:szCs w:val="28"/>
        </w:rPr>
        <w:t>.</w:t>
      </w:r>
    </w:p>
    <w:p w14:paraId="0B30AC67" w14:textId="77777777" w:rsidR="001E1242" w:rsidRDefault="001E1242" w:rsidP="001E1242">
      <w:pPr>
        <w:bidi/>
        <w:spacing w:line="480" w:lineRule="auto"/>
        <w:ind w:left="720"/>
        <w:jc w:val="lowKashida"/>
        <w:rPr>
          <w:rFonts w:asciiTheme="majorBidi" w:hAnsiTheme="majorBidi" w:cstheme="majorBidi"/>
          <w:sz w:val="28"/>
          <w:szCs w:val="28"/>
        </w:rPr>
      </w:pPr>
    </w:p>
    <w:p w14:paraId="2D788AEF" w14:textId="77777777" w:rsidR="001E1242" w:rsidRPr="001E1242" w:rsidRDefault="001E1242" w:rsidP="001E1242">
      <w:pPr>
        <w:bidi/>
        <w:spacing w:line="480" w:lineRule="auto"/>
        <w:ind w:left="720"/>
        <w:jc w:val="lowKashida"/>
        <w:rPr>
          <w:rFonts w:asciiTheme="majorBidi" w:hAnsiTheme="majorBidi" w:cstheme="majorBidi"/>
          <w:sz w:val="28"/>
          <w:szCs w:val="28"/>
        </w:rPr>
      </w:pPr>
    </w:p>
    <w:p w14:paraId="783360B4" w14:textId="77777777" w:rsidR="001E1242" w:rsidRPr="001E1242" w:rsidRDefault="001E1242" w:rsidP="001E1242">
      <w:pPr>
        <w:numPr>
          <w:ilvl w:val="0"/>
          <w:numId w:val="2"/>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lastRenderedPageBreak/>
        <w:t>تأثيرات أخرى</w:t>
      </w:r>
    </w:p>
    <w:p w14:paraId="1C414F75" w14:textId="0476C16E" w:rsidR="001E1242" w:rsidRPr="001E1242" w:rsidRDefault="001E1242" w:rsidP="001E1242">
      <w:pPr>
        <w:bidi/>
        <w:spacing w:line="480" w:lineRule="auto"/>
        <w:ind w:left="720"/>
        <w:jc w:val="lowKashida"/>
        <w:rPr>
          <w:rFonts w:asciiTheme="majorBidi" w:hAnsiTheme="majorBidi" w:cstheme="majorBidi"/>
          <w:sz w:val="28"/>
          <w:szCs w:val="28"/>
        </w:rPr>
      </w:pPr>
      <w:r w:rsidRPr="001E1242">
        <w:rPr>
          <w:rFonts w:asciiTheme="majorBidi" w:hAnsiTheme="majorBidi" w:cstheme="majorBidi"/>
          <w:sz w:val="28"/>
          <w:szCs w:val="28"/>
          <w:rtl/>
        </w:rPr>
        <w:t>على الصعيد الاقتصادي، أتى المغول بأساليب إدارية جديدة أسهمت في تنظيم التجارة وإقامة مراكز تجارية مهمة. أدى هذا إلى ازدهار التجارة ونقل البضائع بين الشرق والغرب، مما فتح المجال أمام انتقال البضائع والفنون بين الحضارتين الإسلامية والمغولية</w:t>
      </w:r>
      <w:r w:rsidRPr="001E1242">
        <w:rPr>
          <w:rFonts w:asciiTheme="majorBidi" w:hAnsiTheme="majorBidi" w:cstheme="majorBidi"/>
          <w:sz w:val="28"/>
          <w:szCs w:val="28"/>
        </w:rPr>
        <w:t>.</w:t>
      </w:r>
    </w:p>
    <w:p w14:paraId="6A3837AC" w14:textId="77777777" w:rsidR="001E1242" w:rsidRPr="001E1242" w:rsidRDefault="001E1242" w:rsidP="001E1242">
      <w:pPr>
        <w:bidi/>
        <w:spacing w:line="480" w:lineRule="auto"/>
        <w:jc w:val="lowKashida"/>
        <w:rPr>
          <w:rFonts w:asciiTheme="majorBidi" w:hAnsiTheme="majorBidi" w:cstheme="majorBidi"/>
          <w:color w:val="4472C4" w:themeColor="accent1"/>
          <w:sz w:val="28"/>
          <w:szCs w:val="28"/>
        </w:rPr>
      </w:pPr>
      <w:r w:rsidRPr="001E1242">
        <w:rPr>
          <w:rFonts w:asciiTheme="majorBidi" w:hAnsiTheme="majorBidi" w:cstheme="majorBidi"/>
          <w:b/>
          <w:bCs/>
          <w:color w:val="4472C4" w:themeColor="accent1"/>
          <w:sz w:val="28"/>
          <w:szCs w:val="28"/>
          <w:rtl/>
        </w:rPr>
        <w:t>رأيي الشخصي في إيجابيات وسلبيات الاحتكاك بين الحضارة الإسلامية والحضارتين الغربية والشرقية</w:t>
      </w:r>
    </w:p>
    <w:p w14:paraId="09BCB806" w14:textId="77777777" w:rsidR="001E1242" w:rsidRPr="001E1242" w:rsidRDefault="001E1242" w:rsidP="001E1242">
      <w:p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من الواضح أن الاحتكاك بين الحضارة الإسلامية والحضارتين الغربية والشرقية، رغم أنه جاء في إطار نزاعات وغزو، إلا أنه ساهم في نقل المعارف والعلوم. يمكن القول إن هناك عدة إيجابيات لهذا الاحتكاك، منها</w:t>
      </w:r>
      <w:r w:rsidRPr="001E1242">
        <w:rPr>
          <w:rFonts w:asciiTheme="majorBidi" w:hAnsiTheme="majorBidi" w:cstheme="majorBidi"/>
          <w:sz w:val="28"/>
          <w:szCs w:val="28"/>
        </w:rPr>
        <w:t>:</w:t>
      </w:r>
    </w:p>
    <w:p w14:paraId="27EC7F4B" w14:textId="77777777" w:rsidR="001E1242" w:rsidRPr="001E1242" w:rsidRDefault="001E1242" w:rsidP="001E1242">
      <w:pPr>
        <w:numPr>
          <w:ilvl w:val="0"/>
          <w:numId w:val="3"/>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تعزيز التعاون الثقافي والعلمي</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حيث أسهم التبادل في تحقيق إنجازات علمية وتقنية استفادت منها الحضارات الثلاث</w:t>
      </w:r>
      <w:r w:rsidRPr="001E1242">
        <w:rPr>
          <w:rFonts w:asciiTheme="majorBidi" w:hAnsiTheme="majorBidi" w:cstheme="majorBidi"/>
          <w:sz w:val="28"/>
          <w:szCs w:val="28"/>
        </w:rPr>
        <w:t>.</w:t>
      </w:r>
    </w:p>
    <w:p w14:paraId="36DC342B" w14:textId="77777777" w:rsidR="001E1242" w:rsidRPr="001E1242" w:rsidRDefault="001E1242" w:rsidP="001E1242">
      <w:pPr>
        <w:numPr>
          <w:ilvl w:val="0"/>
          <w:numId w:val="3"/>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نقل الأفكار والتكنولوجيا</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أسهمت التجارة في نقل تقنيات جديدة وأساليب متطورة في الطب والهندسة</w:t>
      </w:r>
      <w:r w:rsidRPr="001E1242">
        <w:rPr>
          <w:rFonts w:asciiTheme="majorBidi" w:hAnsiTheme="majorBidi" w:cstheme="majorBidi"/>
          <w:sz w:val="28"/>
          <w:szCs w:val="28"/>
        </w:rPr>
        <w:t>.</w:t>
      </w:r>
    </w:p>
    <w:p w14:paraId="38CA19E2" w14:textId="77777777" w:rsidR="001E1242" w:rsidRPr="001E1242" w:rsidRDefault="001E1242" w:rsidP="001E1242">
      <w:pPr>
        <w:numPr>
          <w:ilvl w:val="0"/>
          <w:numId w:val="3"/>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التواصل والتبادل التجاري</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توسعت التجارة بين الشرق والغرب، ما أثرى الاقتصادات وأسهم في نشر المنتجات والفنون</w:t>
      </w:r>
      <w:r w:rsidRPr="001E1242">
        <w:rPr>
          <w:rFonts w:asciiTheme="majorBidi" w:hAnsiTheme="majorBidi" w:cstheme="majorBidi"/>
          <w:sz w:val="28"/>
          <w:szCs w:val="28"/>
        </w:rPr>
        <w:t>.</w:t>
      </w:r>
    </w:p>
    <w:p w14:paraId="3C4FB8C9" w14:textId="77777777" w:rsidR="001E1242" w:rsidRPr="001E1242" w:rsidRDefault="001E1242" w:rsidP="001E1242">
      <w:p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أما عن السلبيات، فتشمل</w:t>
      </w:r>
      <w:r w:rsidRPr="001E1242">
        <w:rPr>
          <w:rFonts w:asciiTheme="majorBidi" w:hAnsiTheme="majorBidi" w:cstheme="majorBidi"/>
          <w:sz w:val="28"/>
          <w:szCs w:val="28"/>
        </w:rPr>
        <w:t>:</w:t>
      </w:r>
    </w:p>
    <w:p w14:paraId="5970CE03" w14:textId="77777777" w:rsidR="001E1242" w:rsidRPr="001E1242" w:rsidRDefault="001E1242" w:rsidP="001E1242">
      <w:pPr>
        <w:numPr>
          <w:ilvl w:val="0"/>
          <w:numId w:val="4"/>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التوترات الدينية</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الاختلافات الدينية زادت من حدة النزاعات وأدت إلى صدامات كثيرة</w:t>
      </w:r>
      <w:r w:rsidRPr="001E1242">
        <w:rPr>
          <w:rFonts w:asciiTheme="majorBidi" w:hAnsiTheme="majorBidi" w:cstheme="majorBidi"/>
          <w:sz w:val="28"/>
          <w:szCs w:val="28"/>
        </w:rPr>
        <w:t>.</w:t>
      </w:r>
    </w:p>
    <w:p w14:paraId="579C1E82" w14:textId="77777777" w:rsidR="001E1242" w:rsidRPr="001E1242" w:rsidRDefault="001E1242" w:rsidP="001E1242">
      <w:pPr>
        <w:numPr>
          <w:ilvl w:val="0"/>
          <w:numId w:val="4"/>
        </w:numPr>
        <w:bidi/>
        <w:spacing w:line="480" w:lineRule="auto"/>
        <w:jc w:val="lowKashida"/>
        <w:rPr>
          <w:rFonts w:asciiTheme="majorBidi" w:hAnsiTheme="majorBidi" w:cstheme="majorBidi"/>
          <w:sz w:val="28"/>
          <w:szCs w:val="28"/>
        </w:rPr>
      </w:pPr>
      <w:r w:rsidRPr="001E1242">
        <w:rPr>
          <w:rFonts w:asciiTheme="majorBidi" w:hAnsiTheme="majorBidi" w:cstheme="majorBidi"/>
          <w:b/>
          <w:bCs/>
          <w:sz w:val="28"/>
          <w:szCs w:val="28"/>
          <w:rtl/>
        </w:rPr>
        <w:t>التغيرات الاجتماعية السلبية</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فقد شهدت بعض المجتمعات تحولات اجتماعية أضعفت هويتها الثقافية الأصيلة</w:t>
      </w:r>
      <w:r w:rsidRPr="001E1242">
        <w:rPr>
          <w:rFonts w:asciiTheme="majorBidi" w:hAnsiTheme="majorBidi" w:cstheme="majorBidi"/>
          <w:sz w:val="28"/>
          <w:szCs w:val="28"/>
        </w:rPr>
        <w:t>.</w:t>
      </w:r>
    </w:p>
    <w:p w14:paraId="23CE697E" w14:textId="6987252E" w:rsidR="001E1242" w:rsidRPr="001E1242" w:rsidRDefault="001E1242" w:rsidP="001E1242">
      <w:pPr>
        <w:numPr>
          <w:ilvl w:val="0"/>
          <w:numId w:val="4"/>
        </w:numPr>
        <w:bidi/>
        <w:spacing w:line="480" w:lineRule="auto"/>
        <w:jc w:val="lowKashida"/>
        <w:rPr>
          <w:rFonts w:asciiTheme="majorBidi" w:hAnsiTheme="majorBidi" w:cstheme="majorBidi"/>
          <w:sz w:val="28"/>
          <w:szCs w:val="28"/>
          <w:rtl/>
        </w:rPr>
      </w:pPr>
      <w:r w:rsidRPr="001E1242">
        <w:rPr>
          <w:rFonts w:asciiTheme="majorBidi" w:hAnsiTheme="majorBidi" w:cstheme="majorBidi"/>
          <w:b/>
          <w:bCs/>
          <w:sz w:val="28"/>
          <w:szCs w:val="28"/>
          <w:rtl/>
        </w:rPr>
        <w:lastRenderedPageBreak/>
        <w:t>الاحتلال والتدمير</w:t>
      </w:r>
      <w:r w:rsidRPr="001E1242">
        <w:rPr>
          <w:rFonts w:asciiTheme="majorBidi" w:hAnsiTheme="majorBidi" w:cstheme="majorBidi"/>
          <w:sz w:val="28"/>
          <w:szCs w:val="28"/>
        </w:rPr>
        <w:t xml:space="preserve">: </w:t>
      </w:r>
      <w:r w:rsidRPr="001E1242">
        <w:rPr>
          <w:rFonts w:asciiTheme="majorBidi" w:hAnsiTheme="majorBidi" w:cstheme="majorBidi"/>
          <w:sz w:val="28"/>
          <w:szCs w:val="28"/>
          <w:rtl/>
        </w:rPr>
        <w:t>تعرّضت مناطق عديدة للدمار والنهب، ما أثّر سلبًا على البنية التحتية لتلك المجتمعات</w:t>
      </w:r>
      <w:r w:rsidRPr="001E1242">
        <w:rPr>
          <w:rFonts w:asciiTheme="majorBidi" w:hAnsiTheme="majorBidi" w:cstheme="majorBidi"/>
          <w:sz w:val="28"/>
          <w:szCs w:val="28"/>
        </w:rPr>
        <w:t>.</w:t>
      </w:r>
    </w:p>
    <w:p w14:paraId="7E3FEF8A" w14:textId="418BFCB7" w:rsidR="001E1242" w:rsidRPr="001E1242" w:rsidRDefault="001E1242" w:rsidP="001E1242">
      <w:pPr>
        <w:bidi/>
        <w:spacing w:line="480" w:lineRule="auto"/>
        <w:jc w:val="lowKashida"/>
        <w:rPr>
          <w:rFonts w:asciiTheme="majorBidi" w:hAnsiTheme="majorBidi" w:cstheme="majorBidi"/>
          <w:b/>
          <w:bCs/>
          <w:color w:val="4472C4" w:themeColor="accent1"/>
          <w:sz w:val="32"/>
          <w:szCs w:val="32"/>
          <w:rtl/>
        </w:rPr>
      </w:pPr>
      <w:r w:rsidRPr="001E1242">
        <w:rPr>
          <w:rFonts w:asciiTheme="majorBidi" w:hAnsiTheme="majorBidi" w:cstheme="majorBidi" w:hint="cs"/>
          <w:b/>
          <w:bCs/>
          <w:color w:val="4472C4" w:themeColor="accent1"/>
          <w:sz w:val="32"/>
          <w:szCs w:val="32"/>
          <w:rtl/>
        </w:rPr>
        <w:t>المراجع:</w:t>
      </w:r>
    </w:p>
    <w:p w14:paraId="5788055F" w14:textId="62B28054" w:rsidR="001E1242" w:rsidRPr="001E1242" w:rsidRDefault="001E1242" w:rsidP="001E1242">
      <w:pPr>
        <w:pStyle w:val="ListParagraph"/>
        <w:numPr>
          <w:ilvl w:val="0"/>
          <w:numId w:val="5"/>
        </w:num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الوجيه، م. ق. ح. (2015). الأثر الحضاري للغزو المغولي للمشرق الإسلامي (617-803 هـ / 1220-1400 م)</w:t>
      </w:r>
      <w:r w:rsidRPr="001E1242">
        <w:rPr>
          <w:rFonts w:asciiTheme="majorBidi" w:hAnsiTheme="majorBidi" w:cstheme="majorBidi"/>
          <w:sz w:val="28"/>
          <w:szCs w:val="28"/>
        </w:rPr>
        <w:t xml:space="preserve">. </w:t>
      </w:r>
      <w:r w:rsidRPr="001E1242">
        <w:rPr>
          <w:rFonts w:asciiTheme="majorBidi" w:hAnsiTheme="majorBidi" w:cstheme="majorBidi"/>
          <w:i/>
          <w:iCs/>
          <w:sz w:val="28"/>
          <w:szCs w:val="28"/>
          <w:rtl/>
        </w:rPr>
        <w:t>مجلة جامعة الناصر</w:t>
      </w:r>
      <w:r w:rsidRPr="001E1242">
        <w:rPr>
          <w:rFonts w:asciiTheme="majorBidi" w:hAnsiTheme="majorBidi" w:cstheme="majorBidi"/>
          <w:sz w:val="28"/>
          <w:szCs w:val="28"/>
          <w:rtl/>
        </w:rPr>
        <w:t xml:space="preserve">، </w:t>
      </w:r>
      <w:r w:rsidRPr="001E1242">
        <w:rPr>
          <w:rFonts w:asciiTheme="majorBidi" w:hAnsiTheme="majorBidi" w:cstheme="majorBidi"/>
          <w:sz w:val="28"/>
          <w:szCs w:val="28"/>
        </w:rPr>
        <w:t>(6)</w:t>
      </w:r>
      <w:r w:rsidRPr="001E1242">
        <w:rPr>
          <w:rFonts w:asciiTheme="majorBidi" w:hAnsiTheme="majorBidi" w:cstheme="majorBidi"/>
          <w:sz w:val="28"/>
          <w:szCs w:val="28"/>
          <w:rtl/>
        </w:rPr>
        <w:t>، 447-487</w:t>
      </w:r>
      <w:r w:rsidRPr="001E1242">
        <w:rPr>
          <w:rFonts w:asciiTheme="majorBidi" w:hAnsiTheme="majorBidi" w:cstheme="majorBidi"/>
          <w:sz w:val="28"/>
          <w:szCs w:val="28"/>
        </w:rPr>
        <w:t>.</w:t>
      </w:r>
    </w:p>
    <w:p w14:paraId="1842E64E" w14:textId="7323254F" w:rsidR="001E1242" w:rsidRPr="001E1242" w:rsidRDefault="001E1242" w:rsidP="001E1242">
      <w:pPr>
        <w:pStyle w:val="ListParagraph"/>
        <w:numPr>
          <w:ilvl w:val="0"/>
          <w:numId w:val="5"/>
        </w:num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مرجونة، إ. م. ع. م. (2020). المغول في العالم الإسلامي: دراسة سياسية حضارية. الإسكندرية، مصر: دار التعليم الجامعي</w:t>
      </w:r>
      <w:r w:rsidRPr="001E1242">
        <w:rPr>
          <w:rFonts w:asciiTheme="majorBidi" w:hAnsiTheme="majorBidi" w:cstheme="majorBidi"/>
          <w:sz w:val="28"/>
          <w:szCs w:val="28"/>
        </w:rPr>
        <w:t>.</w:t>
      </w:r>
    </w:p>
    <w:p w14:paraId="5989FB2D" w14:textId="728984C5" w:rsidR="001E1242" w:rsidRPr="001E1242" w:rsidRDefault="001E1242" w:rsidP="001E1242">
      <w:pPr>
        <w:pStyle w:val="ListParagraph"/>
        <w:numPr>
          <w:ilvl w:val="0"/>
          <w:numId w:val="5"/>
        </w:num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شلبي، أ. (2017). موسوعة الحضارة الإسلامية. القاهرة، مصر: دار النهضة العربية</w:t>
      </w:r>
      <w:r w:rsidRPr="001E1242">
        <w:rPr>
          <w:rFonts w:asciiTheme="majorBidi" w:hAnsiTheme="majorBidi" w:cstheme="majorBidi"/>
          <w:sz w:val="28"/>
          <w:szCs w:val="28"/>
        </w:rPr>
        <w:t>.</w:t>
      </w:r>
    </w:p>
    <w:p w14:paraId="4510DC9C" w14:textId="3B08EDA5" w:rsidR="001E1242" w:rsidRPr="009460A8" w:rsidRDefault="001E1242" w:rsidP="009460A8">
      <w:pPr>
        <w:pStyle w:val="ListParagraph"/>
        <w:numPr>
          <w:ilvl w:val="0"/>
          <w:numId w:val="5"/>
        </w:numPr>
        <w:bidi/>
        <w:spacing w:line="480" w:lineRule="auto"/>
        <w:jc w:val="lowKashida"/>
        <w:rPr>
          <w:rFonts w:asciiTheme="majorBidi" w:hAnsiTheme="majorBidi" w:cstheme="majorBidi"/>
          <w:sz w:val="28"/>
          <w:szCs w:val="28"/>
        </w:rPr>
      </w:pPr>
      <w:r w:rsidRPr="001E1242">
        <w:rPr>
          <w:rFonts w:asciiTheme="majorBidi" w:hAnsiTheme="majorBidi" w:cstheme="majorBidi"/>
          <w:sz w:val="28"/>
          <w:szCs w:val="28"/>
          <w:rtl/>
        </w:rPr>
        <w:t>عوض، م. (2003). أضواء على إشكالية دراسة تاريخ الحروب الصليبية في القرنين 12-13م/6-7هـ</w:t>
      </w:r>
      <w:r w:rsidRPr="001E1242">
        <w:rPr>
          <w:rFonts w:asciiTheme="majorBidi" w:hAnsiTheme="majorBidi" w:cstheme="majorBidi"/>
          <w:sz w:val="28"/>
          <w:szCs w:val="28"/>
        </w:rPr>
        <w:t xml:space="preserve">. </w:t>
      </w:r>
      <w:r w:rsidRPr="001E1242">
        <w:rPr>
          <w:rFonts w:asciiTheme="majorBidi" w:hAnsiTheme="majorBidi" w:cstheme="majorBidi"/>
          <w:i/>
          <w:iCs/>
          <w:sz w:val="28"/>
          <w:szCs w:val="28"/>
          <w:rtl/>
        </w:rPr>
        <w:t>مجلة التاريخ الإسلامي والوسيط</w:t>
      </w:r>
      <w:r w:rsidRPr="001E1242">
        <w:rPr>
          <w:rFonts w:asciiTheme="majorBidi" w:hAnsiTheme="majorBidi" w:cstheme="majorBidi"/>
          <w:sz w:val="28"/>
          <w:szCs w:val="28"/>
          <w:rtl/>
        </w:rPr>
        <w:t>، 3</w:t>
      </w:r>
      <w:r w:rsidRPr="001E1242">
        <w:rPr>
          <w:rFonts w:asciiTheme="majorBidi" w:hAnsiTheme="majorBidi" w:cstheme="majorBidi"/>
          <w:sz w:val="28"/>
          <w:szCs w:val="28"/>
        </w:rPr>
        <w:t>(1)</w:t>
      </w:r>
      <w:r w:rsidRPr="001E1242">
        <w:rPr>
          <w:rFonts w:asciiTheme="majorBidi" w:hAnsiTheme="majorBidi" w:cstheme="majorBidi"/>
          <w:sz w:val="28"/>
          <w:szCs w:val="28"/>
          <w:rtl/>
        </w:rPr>
        <w:t>، 267-279</w:t>
      </w:r>
      <w:r w:rsidRPr="001E1242">
        <w:rPr>
          <w:rFonts w:asciiTheme="majorBidi" w:hAnsiTheme="majorBidi" w:cstheme="majorBidi"/>
          <w:sz w:val="28"/>
          <w:szCs w:val="28"/>
        </w:rPr>
        <w:t>.</w:t>
      </w:r>
    </w:p>
    <w:sectPr w:rsidR="001E1242" w:rsidRPr="009460A8" w:rsidSect="001E1242">
      <w:footerReference w:type="defaul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6D95E" w14:textId="77777777" w:rsidR="00640C0A" w:rsidRDefault="00640C0A" w:rsidP="001E1242">
      <w:pPr>
        <w:spacing w:after="0" w:line="240" w:lineRule="auto"/>
      </w:pPr>
      <w:r>
        <w:separator/>
      </w:r>
    </w:p>
  </w:endnote>
  <w:endnote w:type="continuationSeparator" w:id="0">
    <w:p w14:paraId="1C54EDB4" w14:textId="77777777" w:rsidR="00640C0A" w:rsidRDefault="00640C0A" w:rsidP="001E1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9126145"/>
      <w:docPartObj>
        <w:docPartGallery w:val="Page Numbers (Bottom of Page)"/>
        <w:docPartUnique/>
      </w:docPartObj>
    </w:sdtPr>
    <w:sdtEndPr>
      <w:rPr>
        <w:noProof/>
      </w:rPr>
    </w:sdtEndPr>
    <w:sdtContent>
      <w:p w14:paraId="1E0AFB64" w14:textId="7D0501B8" w:rsidR="001E1242" w:rsidRDefault="001E12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B4970A" w14:textId="77777777" w:rsidR="001E1242" w:rsidRDefault="001E1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D24C7" w14:textId="77777777" w:rsidR="00640C0A" w:rsidRDefault="00640C0A" w:rsidP="001E1242">
      <w:pPr>
        <w:spacing w:after="0" w:line="240" w:lineRule="auto"/>
      </w:pPr>
      <w:r>
        <w:separator/>
      </w:r>
    </w:p>
  </w:footnote>
  <w:footnote w:type="continuationSeparator" w:id="0">
    <w:p w14:paraId="1CDD3A3B" w14:textId="77777777" w:rsidR="00640C0A" w:rsidRDefault="00640C0A" w:rsidP="001E1242">
      <w:pPr>
        <w:spacing w:after="0" w:line="240" w:lineRule="auto"/>
      </w:pPr>
      <w:r>
        <w:continuationSeparator/>
      </w:r>
    </w:p>
  </w:footnote>
  <w:footnote w:id="1">
    <w:p w14:paraId="68F7365D" w14:textId="0CFBC521" w:rsidR="001E1242" w:rsidRPr="001E1242" w:rsidRDefault="001E1242" w:rsidP="001E1242">
      <w:pPr>
        <w:bidi/>
        <w:spacing w:after="0" w:line="240" w:lineRule="auto"/>
        <w:jc w:val="lowKashida"/>
        <w:rPr>
          <w:rFonts w:asciiTheme="majorBidi" w:hAnsiTheme="majorBidi" w:cstheme="majorBidi"/>
          <w:sz w:val="28"/>
          <w:szCs w:val="28"/>
        </w:rPr>
      </w:pPr>
      <w:r>
        <w:rPr>
          <w:rStyle w:val="FootnoteReference"/>
        </w:rPr>
        <w:footnoteRef/>
      </w:r>
      <w:r>
        <w:t xml:space="preserve"> </w:t>
      </w:r>
      <w:r w:rsidRPr="001E1242">
        <w:rPr>
          <w:rFonts w:asciiTheme="majorBidi" w:hAnsiTheme="majorBidi" w:cstheme="majorBidi"/>
          <w:sz w:val="28"/>
          <w:szCs w:val="28"/>
          <w:rtl/>
        </w:rPr>
        <w:t>شلبي، أ. (2017). موسوعة الحضارة الإسلامية. القاهرة، مصر: دار النهضة العربية</w:t>
      </w:r>
      <w:r w:rsidRPr="001E1242">
        <w:rPr>
          <w:rFonts w:asciiTheme="majorBidi" w:hAnsiTheme="majorBidi" w:cstheme="majorBidi"/>
          <w:sz w:val="28"/>
          <w:szCs w:val="28"/>
        </w:rPr>
        <w:t>.</w:t>
      </w:r>
    </w:p>
  </w:footnote>
  <w:footnote w:id="2">
    <w:p w14:paraId="69BAEA19" w14:textId="5AD3A257" w:rsidR="001E1242" w:rsidRPr="001E1242" w:rsidRDefault="001E1242" w:rsidP="001E1242">
      <w:pPr>
        <w:bidi/>
        <w:spacing w:after="0" w:line="240" w:lineRule="auto"/>
        <w:jc w:val="lowKashida"/>
        <w:rPr>
          <w:rFonts w:asciiTheme="majorBidi" w:hAnsiTheme="majorBidi" w:cstheme="majorBidi"/>
          <w:sz w:val="28"/>
          <w:szCs w:val="28"/>
        </w:rPr>
      </w:pPr>
      <w:r>
        <w:rPr>
          <w:rStyle w:val="FootnoteReference"/>
        </w:rPr>
        <w:footnoteRef/>
      </w:r>
      <w:r>
        <w:t xml:space="preserve"> </w:t>
      </w:r>
      <w:r w:rsidRPr="001E1242">
        <w:rPr>
          <w:rFonts w:asciiTheme="majorBidi" w:hAnsiTheme="majorBidi" w:cstheme="majorBidi"/>
          <w:sz w:val="28"/>
          <w:szCs w:val="28"/>
          <w:rtl/>
        </w:rPr>
        <w:t>عوض، م. (2003). أضواء على إشكالية دراسة تاريخ الحروب الصليبية في القرنين 12-13م/6-7هـ</w:t>
      </w:r>
      <w:r w:rsidRPr="001E1242">
        <w:rPr>
          <w:rFonts w:asciiTheme="majorBidi" w:hAnsiTheme="majorBidi" w:cstheme="majorBidi"/>
          <w:sz w:val="28"/>
          <w:szCs w:val="28"/>
        </w:rPr>
        <w:t xml:space="preserve">. </w:t>
      </w:r>
      <w:r w:rsidRPr="001E1242">
        <w:rPr>
          <w:rFonts w:asciiTheme="majorBidi" w:hAnsiTheme="majorBidi" w:cstheme="majorBidi"/>
          <w:i/>
          <w:iCs/>
          <w:sz w:val="28"/>
          <w:szCs w:val="28"/>
          <w:rtl/>
        </w:rPr>
        <w:t>مجلة التاريخ الإسلامي والوسيط</w:t>
      </w:r>
      <w:r w:rsidRPr="001E1242">
        <w:rPr>
          <w:rFonts w:asciiTheme="majorBidi" w:hAnsiTheme="majorBidi" w:cstheme="majorBidi"/>
          <w:sz w:val="28"/>
          <w:szCs w:val="28"/>
          <w:rtl/>
        </w:rPr>
        <w:t>، 3</w:t>
      </w:r>
      <w:r w:rsidRPr="001E1242">
        <w:rPr>
          <w:rFonts w:asciiTheme="majorBidi" w:hAnsiTheme="majorBidi" w:cstheme="majorBidi"/>
          <w:sz w:val="28"/>
          <w:szCs w:val="28"/>
        </w:rPr>
        <w:t>(1)</w:t>
      </w:r>
      <w:r w:rsidRPr="001E1242">
        <w:rPr>
          <w:rFonts w:asciiTheme="majorBidi" w:hAnsiTheme="majorBidi" w:cstheme="majorBidi"/>
          <w:sz w:val="28"/>
          <w:szCs w:val="28"/>
          <w:rtl/>
        </w:rPr>
        <w:t>، 267-279</w:t>
      </w:r>
      <w:r w:rsidRPr="001E1242">
        <w:rPr>
          <w:rFonts w:asciiTheme="majorBidi" w:hAnsiTheme="majorBidi" w:cstheme="majorBidi"/>
          <w:sz w:val="28"/>
          <w:szCs w:val="28"/>
        </w:rPr>
        <w:t>.</w:t>
      </w:r>
    </w:p>
  </w:footnote>
  <w:footnote w:id="3">
    <w:p w14:paraId="7B6E2345" w14:textId="57E0A332" w:rsidR="001E1242" w:rsidRPr="001E1242" w:rsidRDefault="001E1242" w:rsidP="001E1242">
      <w:pPr>
        <w:bidi/>
        <w:spacing w:after="0" w:line="240" w:lineRule="auto"/>
        <w:jc w:val="lowKashida"/>
        <w:rPr>
          <w:rFonts w:asciiTheme="majorBidi" w:hAnsiTheme="majorBidi" w:cstheme="majorBidi"/>
          <w:sz w:val="28"/>
          <w:szCs w:val="28"/>
        </w:rPr>
      </w:pPr>
      <w:r>
        <w:rPr>
          <w:rStyle w:val="FootnoteReference"/>
        </w:rPr>
        <w:footnoteRef/>
      </w:r>
      <w:r>
        <w:t xml:space="preserve"> </w:t>
      </w:r>
      <w:r w:rsidRPr="001E1242">
        <w:rPr>
          <w:rFonts w:asciiTheme="majorBidi" w:hAnsiTheme="majorBidi" w:cstheme="majorBidi"/>
          <w:sz w:val="28"/>
          <w:szCs w:val="28"/>
          <w:rtl/>
        </w:rPr>
        <w:t>عوض، م. (2011). مذابح الصليبيين ضد المسلمين في بلاد الشام ما بين عامي 1098-1191 م: نماذج مختارة</w:t>
      </w:r>
      <w:r w:rsidRPr="001E1242">
        <w:rPr>
          <w:rFonts w:asciiTheme="majorBidi" w:hAnsiTheme="majorBidi" w:cstheme="majorBidi"/>
          <w:sz w:val="28"/>
          <w:szCs w:val="28"/>
        </w:rPr>
        <w:t xml:space="preserve">. </w:t>
      </w:r>
      <w:r w:rsidRPr="001E1242">
        <w:rPr>
          <w:rFonts w:asciiTheme="majorBidi" w:hAnsiTheme="majorBidi" w:cstheme="majorBidi"/>
          <w:i/>
          <w:iCs/>
          <w:sz w:val="28"/>
          <w:szCs w:val="28"/>
          <w:rtl/>
        </w:rPr>
        <w:t>مجلة التاريخ الإسلامي والوسيط</w:t>
      </w:r>
      <w:r w:rsidRPr="001E1242">
        <w:rPr>
          <w:rFonts w:asciiTheme="majorBidi" w:hAnsiTheme="majorBidi" w:cstheme="majorBidi"/>
          <w:sz w:val="28"/>
          <w:szCs w:val="28"/>
          <w:rtl/>
        </w:rPr>
        <w:t>، 4</w:t>
      </w:r>
      <w:r w:rsidRPr="001E1242">
        <w:rPr>
          <w:rFonts w:asciiTheme="majorBidi" w:hAnsiTheme="majorBidi" w:cstheme="majorBidi"/>
          <w:sz w:val="28"/>
          <w:szCs w:val="28"/>
        </w:rPr>
        <w:t>(2)</w:t>
      </w:r>
      <w:r w:rsidRPr="001E1242">
        <w:rPr>
          <w:rFonts w:asciiTheme="majorBidi" w:hAnsiTheme="majorBidi" w:cstheme="majorBidi"/>
          <w:sz w:val="28"/>
          <w:szCs w:val="28"/>
          <w:rtl/>
        </w:rPr>
        <w:t>، 123-145</w:t>
      </w:r>
      <w:r w:rsidRPr="001E1242">
        <w:rPr>
          <w:rFonts w:asciiTheme="majorBidi" w:hAnsiTheme="majorBidi" w:cstheme="majorBidi"/>
          <w:sz w:val="28"/>
          <w:szCs w:val="28"/>
        </w:rPr>
        <w:t>.</w:t>
      </w:r>
    </w:p>
  </w:footnote>
  <w:footnote w:id="4">
    <w:p w14:paraId="22813F47" w14:textId="42661AA0" w:rsidR="001E1242" w:rsidRPr="001E1242" w:rsidRDefault="001E1242" w:rsidP="001E1242">
      <w:pPr>
        <w:bidi/>
        <w:spacing w:after="0" w:line="240" w:lineRule="auto"/>
        <w:jc w:val="lowKashida"/>
        <w:rPr>
          <w:rFonts w:asciiTheme="majorBidi" w:hAnsiTheme="majorBidi" w:cstheme="majorBidi"/>
          <w:sz w:val="28"/>
          <w:szCs w:val="28"/>
        </w:rPr>
      </w:pPr>
      <w:r>
        <w:rPr>
          <w:rStyle w:val="FootnoteReference"/>
        </w:rPr>
        <w:footnoteRef/>
      </w:r>
      <w:r>
        <w:t xml:space="preserve"> </w:t>
      </w:r>
      <w:r w:rsidRPr="001E1242">
        <w:rPr>
          <w:rFonts w:asciiTheme="majorBidi" w:hAnsiTheme="majorBidi" w:cstheme="majorBidi"/>
          <w:sz w:val="28"/>
          <w:szCs w:val="28"/>
          <w:rtl/>
        </w:rPr>
        <w:t>الوجيه، م. ق. ح. (2015). الأثر الحضاري للغزو المغولي للمشرق الإسلامي (617-803 هـ / 1220-1400 م)</w:t>
      </w:r>
      <w:r w:rsidRPr="001E1242">
        <w:rPr>
          <w:rFonts w:asciiTheme="majorBidi" w:hAnsiTheme="majorBidi" w:cstheme="majorBidi"/>
          <w:sz w:val="28"/>
          <w:szCs w:val="28"/>
        </w:rPr>
        <w:t xml:space="preserve">. </w:t>
      </w:r>
      <w:r w:rsidRPr="001E1242">
        <w:rPr>
          <w:rFonts w:asciiTheme="majorBidi" w:hAnsiTheme="majorBidi" w:cstheme="majorBidi"/>
          <w:i/>
          <w:iCs/>
          <w:sz w:val="28"/>
          <w:szCs w:val="28"/>
          <w:rtl/>
        </w:rPr>
        <w:t>مجلة جامعة الناصر</w:t>
      </w:r>
      <w:r w:rsidRPr="001E1242">
        <w:rPr>
          <w:rFonts w:asciiTheme="majorBidi" w:hAnsiTheme="majorBidi" w:cstheme="majorBidi"/>
          <w:sz w:val="28"/>
          <w:szCs w:val="28"/>
          <w:rtl/>
        </w:rPr>
        <w:t xml:space="preserve">، </w:t>
      </w:r>
      <w:r w:rsidRPr="001E1242">
        <w:rPr>
          <w:rFonts w:asciiTheme="majorBidi" w:hAnsiTheme="majorBidi" w:cstheme="majorBidi"/>
          <w:sz w:val="28"/>
          <w:szCs w:val="28"/>
        </w:rPr>
        <w:t>(6)</w:t>
      </w:r>
      <w:r w:rsidRPr="001E1242">
        <w:rPr>
          <w:rFonts w:asciiTheme="majorBidi" w:hAnsiTheme="majorBidi" w:cstheme="majorBidi"/>
          <w:sz w:val="28"/>
          <w:szCs w:val="28"/>
          <w:rtl/>
        </w:rPr>
        <w:t>، 447-487</w:t>
      </w:r>
      <w:r w:rsidRPr="001E1242">
        <w:rPr>
          <w:rFonts w:asciiTheme="majorBidi" w:hAnsiTheme="majorBidi" w:cstheme="majorBidi"/>
          <w:sz w:val="28"/>
          <w:szCs w:val="28"/>
        </w:rPr>
        <w:t>.</w:t>
      </w:r>
    </w:p>
  </w:footnote>
  <w:footnote w:id="5">
    <w:p w14:paraId="71ABC714" w14:textId="5227DC46" w:rsidR="001E1242" w:rsidRPr="001E1242" w:rsidRDefault="001E1242" w:rsidP="001E1242">
      <w:pPr>
        <w:bidi/>
        <w:spacing w:after="0" w:line="240" w:lineRule="auto"/>
        <w:jc w:val="lowKashida"/>
        <w:rPr>
          <w:rFonts w:asciiTheme="majorBidi" w:hAnsiTheme="majorBidi" w:cstheme="majorBidi"/>
          <w:sz w:val="28"/>
          <w:szCs w:val="28"/>
        </w:rPr>
      </w:pPr>
      <w:r>
        <w:rPr>
          <w:rStyle w:val="FootnoteReference"/>
        </w:rPr>
        <w:footnoteRef/>
      </w:r>
      <w:r>
        <w:t xml:space="preserve"> </w:t>
      </w:r>
      <w:r w:rsidRPr="001E1242">
        <w:rPr>
          <w:rFonts w:asciiTheme="majorBidi" w:hAnsiTheme="majorBidi" w:cstheme="majorBidi"/>
          <w:sz w:val="28"/>
          <w:szCs w:val="28"/>
          <w:rtl/>
        </w:rPr>
        <w:t>مرجونة، إ. م. ع. م. (2020). المغول في العالم الإسلامي: دراسة سياسية حضارية. الإسكندرية، مصر: دار التعليم الجامعي</w:t>
      </w:r>
      <w:r w:rsidRPr="001E1242">
        <w:rPr>
          <w:rFonts w:asciiTheme="majorBidi" w:hAnsiTheme="majorBidi" w:cstheme="majorBidi"/>
          <w:sz w:val="28"/>
          <w:szCs w:val="2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F18F7"/>
    <w:multiLevelType w:val="multilevel"/>
    <w:tmpl w:val="5080D780"/>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357C4"/>
    <w:multiLevelType w:val="multilevel"/>
    <w:tmpl w:val="7690E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CF4027"/>
    <w:multiLevelType w:val="multilevel"/>
    <w:tmpl w:val="9DB8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CB1565"/>
    <w:multiLevelType w:val="hybridMultilevel"/>
    <w:tmpl w:val="148233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C12452"/>
    <w:multiLevelType w:val="multilevel"/>
    <w:tmpl w:val="32F8D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200400">
    <w:abstractNumId w:val="4"/>
  </w:num>
  <w:num w:numId="2" w16cid:durableId="567961323">
    <w:abstractNumId w:val="1"/>
  </w:num>
  <w:num w:numId="3" w16cid:durableId="845175093">
    <w:abstractNumId w:val="2"/>
  </w:num>
  <w:num w:numId="4" w16cid:durableId="2104034834">
    <w:abstractNumId w:val="0"/>
  </w:num>
  <w:num w:numId="5" w16cid:durableId="571888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242"/>
    <w:rsid w:val="001E1242"/>
    <w:rsid w:val="00640C0A"/>
    <w:rsid w:val="006B409B"/>
    <w:rsid w:val="009460A8"/>
    <w:rsid w:val="00A666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B50AF"/>
  <w15:chartTrackingRefBased/>
  <w15:docId w15:val="{DB4C9E50-0650-4E3F-A61B-99E3FF276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42"/>
  </w:style>
  <w:style w:type="paragraph" w:styleId="Footer">
    <w:name w:val="footer"/>
    <w:basedOn w:val="Normal"/>
    <w:link w:val="FooterChar"/>
    <w:uiPriority w:val="99"/>
    <w:unhideWhenUsed/>
    <w:rsid w:val="001E1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42"/>
  </w:style>
  <w:style w:type="paragraph" w:styleId="ListParagraph">
    <w:name w:val="List Paragraph"/>
    <w:basedOn w:val="Normal"/>
    <w:uiPriority w:val="34"/>
    <w:qFormat/>
    <w:rsid w:val="001E1242"/>
    <w:pPr>
      <w:ind w:left="720"/>
      <w:contextualSpacing/>
    </w:pPr>
  </w:style>
  <w:style w:type="paragraph" w:styleId="FootnoteText">
    <w:name w:val="footnote text"/>
    <w:basedOn w:val="Normal"/>
    <w:link w:val="FootnoteTextChar"/>
    <w:uiPriority w:val="99"/>
    <w:semiHidden/>
    <w:unhideWhenUsed/>
    <w:rsid w:val="001E12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1242"/>
    <w:rPr>
      <w:sz w:val="20"/>
      <w:szCs w:val="20"/>
    </w:rPr>
  </w:style>
  <w:style w:type="character" w:styleId="FootnoteReference">
    <w:name w:val="footnote reference"/>
    <w:basedOn w:val="DefaultParagraphFont"/>
    <w:uiPriority w:val="99"/>
    <w:semiHidden/>
    <w:unhideWhenUsed/>
    <w:rsid w:val="001E1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183695">
      <w:bodyDiv w:val="1"/>
      <w:marLeft w:val="0"/>
      <w:marRight w:val="0"/>
      <w:marTop w:val="0"/>
      <w:marBottom w:val="0"/>
      <w:divBdr>
        <w:top w:val="none" w:sz="0" w:space="0" w:color="auto"/>
        <w:left w:val="none" w:sz="0" w:space="0" w:color="auto"/>
        <w:bottom w:val="none" w:sz="0" w:space="0" w:color="auto"/>
        <w:right w:val="none" w:sz="0" w:space="0" w:color="auto"/>
      </w:divBdr>
      <w:divsChild>
        <w:div w:id="150101803">
          <w:marLeft w:val="0"/>
          <w:marRight w:val="0"/>
          <w:marTop w:val="0"/>
          <w:marBottom w:val="0"/>
          <w:divBdr>
            <w:top w:val="none" w:sz="0" w:space="0" w:color="auto"/>
            <w:left w:val="none" w:sz="0" w:space="0" w:color="auto"/>
            <w:bottom w:val="none" w:sz="0" w:space="0" w:color="auto"/>
            <w:right w:val="none" w:sz="0" w:space="0" w:color="auto"/>
          </w:divBdr>
          <w:divsChild>
            <w:div w:id="1548293709">
              <w:marLeft w:val="0"/>
              <w:marRight w:val="0"/>
              <w:marTop w:val="0"/>
              <w:marBottom w:val="0"/>
              <w:divBdr>
                <w:top w:val="none" w:sz="0" w:space="0" w:color="auto"/>
                <w:left w:val="none" w:sz="0" w:space="0" w:color="auto"/>
                <w:bottom w:val="none" w:sz="0" w:space="0" w:color="auto"/>
                <w:right w:val="none" w:sz="0" w:space="0" w:color="auto"/>
              </w:divBdr>
              <w:divsChild>
                <w:div w:id="955914191">
                  <w:marLeft w:val="0"/>
                  <w:marRight w:val="0"/>
                  <w:marTop w:val="0"/>
                  <w:marBottom w:val="0"/>
                  <w:divBdr>
                    <w:top w:val="none" w:sz="0" w:space="0" w:color="auto"/>
                    <w:left w:val="none" w:sz="0" w:space="0" w:color="auto"/>
                    <w:bottom w:val="none" w:sz="0" w:space="0" w:color="auto"/>
                    <w:right w:val="none" w:sz="0" w:space="0" w:color="auto"/>
                  </w:divBdr>
                  <w:divsChild>
                    <w:div w:id="1077291449">
                      <w:marLeft w:val="0"/>
                      <w:marRight w:val="0"/>
                      <w:marTop w:val="0"/>
                      <w:marBottom w:val="0"/>
                      <w:divBdr>
                        <w:top w:val="none" w:sz="0" w:space="0" w:color="auto"/>
                        <w:left w:val="none" w:sz="0" w:space="0" w:color="auto"/>
                        <w:bottom w:val="none" w:sz="0" w:space="0" w:color="auto"/>
                        <w:right w:val="none" w:sz="0" w:space="0" w:color="auto"/>
                      </w:divBdr>
                      <w:divsChild>
                        <w:div w:id="1416131186">
                          <w:marLeft w:val="0"/>
                          <w:marRight w:val="0"/>
                          <w:marTop w:val="0"/>
                          <w:marBottom w:val="0"/>
                          <w:divBdr>
                            <w:top w:val="none" w:sz="0" w:space="0" w:color="auto"/>
                            <w:left w:val="none" w:sz="0" w:space="0" w:color="auto"/>
                            <w:bottom w:val="none" w:sz="0" w:space="0" w:color="auto"/>
                            <w:right w:val="none" w:sz="0" w:space="0" w:color="auto"/>
                          </w:divBdr>
                          <w:divsChild>
                            <w:div w:id="593439092">
                              <w:marLeft w:val="0"/>
                              <w:marRight w:val="0"/>
                              <w:marTop w:val="0"/>
                              <w:marBottom w:val="0"/>
                              <w:divBdr>
                                <w:top w:val="none" w:sz="0" w:space="0" w:color="auto"/>
                                <w:left w:val="none" w:sz="0" w:space="0" w:color="auto"/>
                                <w:bottom w:val="none" w:sz="0" w:space="0" w:color="auto"/>
                                <w:right w:val="none" w:sz="0" w:space="0" w:color="auto"/>
                              </w:divBdr>
                              <w:divsChild>
                                <w:div w:id="416631170">
                                  <w:marLeft w:val="0"/>
                                  <w:marRight w:val="0"/>
                                  <w:marTop w:val="0"/>
                                  <w:marBottom w:val="0"/>
                                  <w:divBdr>
                                    <w:top w:val="none" w:sz="0" w:space="0" w:color="auto"/>
                                    <w:left w:val="none" w:sz="0" w:space="0" w:color="auto"/>
                                    <w:bottom w:val="none" w:sz="0" w:space="0" w:color="auto"/>
                                    <w:right w:val="none" w:sz="0" w:space="0" w:color="auto"/>
                                  </w:divBdr>
                                  <w:divsChild>
                                    <w:div w:id="32698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15034">
                          <w:marLeft w:val="0"/>
                          <w:marRight w:val="0"/>
                          <w:marTop w:val="0"/>
                          <w:marBottom w:val="0"/>
                          <w:divBdr>
                            <w:top w:val="none" w:sz="0" w:space="0" w:color="auto"/>
                            <w:left w:val="none" w:sz="0" w:space="0" w:color="auto"/>
                            <w:bottom w:val="none" w:sz="0" w:space="0" w:color="auto"/>
                            <w:right w:val="none" w:sz="0" w:space="0" w:color="auto"/>
                          </w:divBdr>
                          <w:divsChild>
                            <w:div w:id="1880126436">
                              <w:marLeft w:val="0"/>
                              <w:marRight w:val="0"/>
                              <w:marTop w:val="0"/>
                              <w:marBottom w:val="0"/>
                              <w:divBdr>
                                <w:top w:val="none" w:sz="0" w:space="0" w:color="auto"/>
                                <w:left w:val="none" w:sz="0" w:space="0" w:color="auto"/>
                                <w:bottom w:val="none" w:sz="0" w:space="0" w:color="auto"/>
                                <w:right w:val="none" w:sz="0" w:space="0" w:color="auto"/>
                              </w:divBdr>
                              <w:divsChild>
                                <w:div w:id="160050779">
                                  <w:marLeft w:val="0"/>
                                  <w:marRight w:val="0"/>
                                  <w:marTop w:val="0"/>
                                  <w:marBottom w:val="0"/>
                                  <w:divBdr>
                                    <w:top w:val="none" w:sz="0" w:space="0" w:color="auto"/>
                                    <w:left w:val="none" w:sz="0" w:space="0" w:color="auto"/>
                                    <w:bottom w:val="none" w:sz="0" w:space="0" w:color="auto"/>
                                    <w:right w:val="none" w:sz="0" w:space="0" w:color="auto"/>
                                  </w:divBdr>
                                  <w:divsChild>
                                    <w:div w:id="52653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760783">
          <w:marLeft w:val="0"/>
          <w:marRight w:val="0"/>
          <w:marTop w:val="0"/>
          <w:marBottom w:val="0"/>
          <w:divBdr>
            <w:top w:val="none" w:sz="0" w:space="0" w:color="auto"/>
            <w:left w:val="none" w:sz="0" w:space="0" w:color="auto"/>
            <w:bottom w:val="none" w:sz="0" w:space="0" w:color="auto"/>
            <w:right w:val="none" w:sz="0" w:space="0" w:color="auto"/>
          </w:divBdr>
          <w:divsChild>
            <w:div w:id="1273518628">
              <w:marLeft w:val="0"/>
              <w:marRight w:val="0"/>
              <w:marTop w:val="0"/>
              <w:marBottom w:val="0"/>
              <w:divBdr>
                <w:top w:val="none" w:sz="0" w:space="0" w:color="auto"/>
                <w:left w:val="none" w:sz="0" w:space="0" w:color="auto"/>
                <w:bottom w:val="none" w:sz="0" w:space="0" w:color="auto"/>
                <w:right w:val="none" w:sz="0" w:space="0" w:color="auto"/>
              </w:divBdr>
              <w:divsChild>
                <w:div w:id="423694886">
                  <w:marLeft w:val="0"/>
                  <w:marRight w:val="0"/>
                  <w:marTop w:val="0"/>
                  <w:marBottom w:val="0"/>
                  <w:divBdr>
                    <w:top w:val="none" w:sz="0" w:space="0" w:color="auto"/>
                    <w:left w:val="none" w:sz="0" w:space="0" w:color="auto"/>
                    <w:bottom w:val="none" w:sz="0" w:space="0" w:color="auto"/>
                    <w:right w:val="none" w:sz="0" w:space="0" w:color="auto"/>
                  </w:divBdr>
                  <w:divsChild>
                    <w:div w:id="309679738">
                      <w:marLeft w:val="0"/>
                      <w:marRight w:val="0"/>
                      <w:marTop w:val="0"/>
                      <w:marBottom w:val="0"/>
                      <w:divBdr>
                        <w:top w:val="none" w:sz="0" w:space="0" w:color="auto"/>
                        <w:left w:val="none" w:sz="0" w:space="0" w:color="auto"/>
                        <w:bottom w:val="none" w:sz="0" w:space="0" w:color="auto"/>
                        <w:right w:val="none" w:sz="0" w:space="0" w:color="auto"/>
                      </w:divBdr>
                      <w:divsChild>
                        <w:div w:id="320698657">
                          <w:marLeft w:val="0"/>
                          <w:marRight w:val="0"/>
                          <w:marTop w:val="0"/>
                          <w:marBottom w:val="0"/>
                          <w:divBdr>
                            <w:top w:val="none" w:sz="0" w:space="0" w:color="auto"/>
                            <w:left w:val="none" w:sz="0" w:space="0" w:color="auto"/>
                            <w:bottom w:val="none" w:sz="0" w:space="0" w:color="auto"/>
                            <w:right w:val="none" w:sz="0" w:space="0" w:color="auto"/>
                          </w:divBdr>
                          <w:divsChild>
                            <w:div w:id="1415516352">
                              <w:marLeft w:val="0"/>
                              <w:marRight w:val="0"/>
                              <w:marTop w:val="0"/>
                              <w:marBottom w:val="0"/>
                              <w:divBdr>
                                <w:top w:val="none" w:sz="0" w:space="0" w:color="auto"/>
                                <w:left w:val="none" w:sz="0" w:space="0" w:color="auto"/>
                                <w:bottom w:val="none" w:sz="0" w:space="0" w:color="auto"/>
                                <w:right w:val="none" w:sz="0" w:space="0" w:color="auto"/>
                              </w:divBdr>
                              <w:divsChild>
                                <w:div w:id="1003633153">
                                  <w:marLeft w:val="0"/>
                                  <w:marRight w:val="0"/>
                                  <w:marTop w:val="0"/>
                                  <w:marBottom w:val="0"/>
                                  <w:divBdr>
                                    <w:top w:val="none" w:sz="0" w:space="0" w:color="auto"/>
                                    <w:left w:val="none" w:sz="0" w:space="0" w:color="auto"/>
                                    <w:bottom w:val="none" w:sz="0" w:space="0" w:color="auto"/>
                                    <w:right w:val="none" w:sz="0" w:space="0" w:color="auto"/>
                                  </w:divBdr>
                                  <w:divsChild>
                                    <w:div w:id="1329333520">
                                      <w:marLeft w:val="0"/>
                                      <w:marRight w:val="0"/>
                                      <w:marTop w:val="0"/>
                                      <w:marBottom w:val="0"/>
                                      <w:divBdr>
                                        <w:top w:val="none" w:sz="0" w:space="0" w:color="auto"/>
                                        <w:left w:val="none" w:sz="0" w:space="0" w:color="auto"/>
                                        <w:bottom w:val="none" w:sz="0" w:space="0" w:color="auto"/>
                                        <w:right w:val="none" w:sz="0" w:space="0" w:color="auto"/>
                                      </w:divBdr>
                                      <w:divsChild>
                                        <w:div w:id="35535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6671736">
          <w:marLeft w:val="0"/>
          <w:marRight w:val="0"/>
          <w:marTop w:val="0"/>
          <w:marBottom w:val="0"/>
          <w:divBdr>
            <w:top w:val="none" w:sz="0" w:space="0" w:color="auto"/>
            <w:left w:val="none" w:sz="0" w:space="0" w:color="auto"/>
            <w:bottom w:val="none" w:sz="0" w:space="0" w:color="auto"/>
            <w:right w:val="none" w:sz="0" w:space="0" w:color="auto"/>
          </w:divBdr>
          <w:divsChild>
            <w:div w:id="114101580">
              <w:marLeft w:val="0"/>
              <w:marRight w:val="0"/>
              <w:marTop w:val="0"/>
              <w:marBottom w:val="0"/>
              <w:divBdr>
                <w:top w:val="none" w:sz="0" w:space="0" w:color="auto"/>
                <w:left w:val="none" w:sz="0" w:space="0" w:color="auto"/>
                <w:bottom w:val="none" w:sz="0" w:space="0" w:color="auto"/>
                <w:right w:val="none" w:sz="0" w:space="0" w:color="auto"/>
              </w:divBdr>
              <w:divsChild>
                <w:div w:id="1079711023">
                  <w:marLeft w:val="0"/>
                  <w:marRight w:val="0"/>
                  <w:marTop w:val="0"/>
                  <w:marBottom w:val="0"/>
                  <w:divBdr>
                    <w:top w:val="none" w:sz="0" w:space="0" w:color="auto"/>
                    <w:left w:val="none" w:sz="0" w:space="0" w:color="auto"/>
                    <w:bottom w:val="none" w:sz="0" w:space="0" w:color="auto"/>
                    <w:right w:val="none" w:sz="0" w:space="0" w:color="auto"/>
                  </w:divBdr>
                  <w:divsChild>
                    <w:div w:id="1687949001">
                      <w:marLeft w:val="0"/>
                      <w:marRight w:val="0"/>
                      <w:marTop w:val="0"/>
                      <w:marBottom w:val="0"/>
                      <w:divBdr>
                        <w:top w:val="none" w:sz="0" w:space="0" w:color="auto"/>
                        <w:left w:val="none" w:sz="0" w:space="0" w:color="auto"/>
                        <w:bottom w:val="none" w:sz="0" w:space="0" w:color="auto"/>
                        <w:right w:val="none" w:sz="0" w:space="0" w:color="auto"/>
                      </w:divBdr>
                      <w:divsChild>
                        <w:div w:id="1176068245">
                          <w:marLeft w:val="0"/>
                          <w:marRight w:val="0"/>
                          <w:marTop w:val="0"/>
                          <w:marBottom w:val="0"/>
                          <w:divBdr>
                            <w:top w:val="none" w:sz="0" w:space="0" w:color="auto"/>
                            <w:left w:val="none" w:sz="0" w:space="0" w:color="auto"/>
                            <w:bottom w:val="none" w:sz="0" w:space="0" w:color="auto"/>
                            <w:right w:val="none" w:sz="0" w:space="0" w:color="auto"/>
                          </w:divBdr>
                          <w:divsChild>
                            <w:div w:id="393050175">
                              <w:marLeft w:val="0"/>
                              <w:marRight w:val="0"/>
                              <w:marTop w:val="0"/>
                              <w:marBottom w:val="0"/>
                              <w:divBdr>
                                <w:top w:val="none" w:sz="0" w:space="0" w:color="auto"/>
                                <w:left w:val="none" w:sz="0" w:space="0" w:color="auto"/>
                                <w:bottom w:val="none" w:sz="0" w:space="0" w:color="auto"/>
                                <w:right w:val="none" w:sz="0" w:space="0" w:color="auto"/>
                              </w:divBdr>
                              <w:divsChild>
                                <w:div w:id="10250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27612">
                  <w:marLeft w:val="0"/>
                  <w:marRight w:val="0"/>
                  <w:marTop w:val="0"/>
                  <w:marBottom w:val="0"/>
                  <w:divBdr>
                    <w:top w:val="none" w:sz="0" w:space="0" w:color="auto"/>
                    <w:left w:val="none" w:sz="0" w:space="0" w:color="auto"/>
                    <w:bottom w:val="none" w:sz="0" w:space="0" w:color="auto"/>
                    <w:right w:val="none" w:sz="0" w:space="0" w:color="auto"/>
                  </w:divBdr>
                  <w:divsChild>
                    <w:div w:id="1418289739">
                      <w:marLeft w:val="0"/>
                      <w:marRight w:val="0"/>
                      <w:marTop w:val="0"/>
                      <w:marBottom w:val="0"/>
                      <w:divBdr>
                        <w:top w:val="none" w:sz="0" w:space="0" w:color="auto"/>
                        <w:left w:val="none" w:sz="0" w:space="0" w:color="auto"/>
                        <w:bottom w:val="none" w:sz="0" w:space="0" w:color="auto"/>
                        <w:right w:val="none" w:sz="0" w:space="0" w:color="auto"/>
                      </w:divBdr>
                      <w:divsChild>
                        <w:div w:id="1628852535">
                          <w:marLeft w:val="0"/>
                          <w:marRight w:val="0"/>
                          <w:marTop w:val="0"/>
                          <w:marBottom w:val="0"/>
                          <w:divBdr>
                            <w:top w:val="none" w:sz="0" w:space="0" w:color="auto"/>
                            <w:left w:val="none" w:sz="0" w:space="0" w:color="auto"/>
                            <w:bottom w:val="none" w:sz="0" w:space="0" w:color="auto"/>
                            <w:right w:val="none" w:sz="0" w:space="0" w:color="auto"/>
                          </w:divBdr>
                          <w:divsChild>
                            <w:div w:id="1583640206">
                              <w:marLeft w:val="0"/>
                              <w:marRight w:val="0"/>
                              <w:marTop w:val="0"/>
                              <w:marBottom w:val="0"/>
                              <w:divBdr>
                                <w:top w:val="none" w:sz="0" w:space="0" w:color="auto"/>
                                <w:left w:val="none" w:sz="0" w:space="0" w:color="auto"/>
                                <w:bottom w:val="none" w:sz="0" w:space="0" w:color="auto"/>
                                <w:right w:val="none" w:sz="0" w:space="0" w:color="auto"/>
                              </w:divBdr>
                              <w:divsChild>
                                <w:div w:id="1287615522">
                                  <w:marLeft w:val="0"/>
                                  <w:marRight w:val="0"/>
                                  <w:marTop w:val="0"/>
                                  <w:marBottom w:val="0"/>
                                  <w:divBdr>
                                    <w:top w:val="none" w:sz="0" w:space="0" w:color="auto"/>
                                    <w:left w:val="none" w:sz="0" w:space="0" w:color="auto"/>
                                    <w:bottom w:val="none" w:sz="0" w:space="0" w:color="auto"/>
                                    <w:right w:val="none" w:sz="0" w:space="0" w:color="auto"/>
                                  </w:divBdr>
                                  <w:divsChild>
                                    <w:div w:id="9544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F10C6-1ED0-4A7F-B0EB-0F26647F8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833</Words>
  <Characters>4754</Characters>
  <Application>Microsoft Office Word</Application>
  <DocSecurity>0</DocSecurity>
  <Lines>39</Lines>
  <Paragraphs>11</Paragraphs>
  <ScaleCrop>false</ScaleCrop>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Check-in</dc:creator>
  <cp:keywords/>
  <dc:description/>
  <cp:lastModifiedBy>Check-in</cp:lastModifiedBy>
  <cp:revision>2</cp:revision>
  <dcterms:created xsi:type="dcterms:W3CDTF">2024-11-10T13:11:00Z</dcterms:created>
  <dcterms:modified xsi:type="dcterms:W3CDTF">2024-11-10T13:28:00Z</dcterms:modified>
</cp:coreProperties>
</file>